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emf" ContentType="image/x-emf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object>
          <v:shape id="ole_rId2" style="width:55.35pt;height:72pt" o:ole="">
            <v:imagedata r:id="rId3" o:title=""/>
          </v:shape>
          <o:OLEObject Type="Embed" ProgID="" ShapeID="ole_rId2" DrawAspect="Content" ObjectID="_161894140" r:id="rId2"/>
        </w:objec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Times New Roman" w:ascii="Times New Roman" w:hAnsi="Times New Roman"/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КАРЕЛИЯ</w:t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КОНТРОЛЬНО-СЧЕТНЫЙ КОМИТЕТ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СОРТАВАЛЬСКОГО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28 апреля 2015 года                                                                      №10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cs="Times New Roman" w:ascii="Times New Roman" w:hAnsi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13.03.2014г. №33.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 экспертизы :</w:t>
      </w:r>
      <w:r>
        <w:rPr>
          <w:rFonts w:cs="Times New Roman" w:ascii="Times New Roman" w:hAnsi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 экспертизы :</w:t>
      </w:r>
      <w:r>
        <w:rPr>
          <w:rFonts w:cs="Times New Roman" w:ascii="Times New Roman" w:hAnsi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 с приложениями №№1-13 (далее- проект Решения), пояснительной запиской к проекту Решения представлен на экспертизу в Контрольно-счетный комитет Сортавальского муниципального района (далее- Контрольно-счетный комитет) 27 апреля 2015 года.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принятые Решением Совета Сортавальского муниципального района «О бюджете Сортавальского муниципального района на 2015 год и плановый период 2016-2017 годов» (далее- проект Решения), к которым, в соответствии с ст. 184.1 БК РФ, относятся общий объем доходов, общий объем расходов и дефицит бюджета.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 проект Решения вносятся следующие изменения в основные характеристики бюджета на 2015 год: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-доходы бюджета </w:t>
      </w:r>
      <w:r>
        <w:rPr>
          <w:rFonts w:cs="Times New Roman" w:ascii="Times New Roman" w:hAnsi="Times New Roman"/>
          <w:sz w:val="28"/>
          <w:szCs w:val="28"/>
        </w:rPr>
        <w:t>в целом по сравнению с утвержденным бюджетом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увеличиваются на сумму 154668,6 тыс. руб.(в т.ч. ранее внесенные изменения на сумму 32354,8 тыс. руб.), в том числе безвозмездные поступления увеличатся на 82119,7тыс. руб.(ранее внесенные изменения - 26,0 тыс. руб.).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- расходы бюджета</w:t>
      </w:r>
      <w:r>
        <w:rPr>
          <w:rFonts w:cs="Times New Roman" w:ascii="Times New Roman" w:hAnsi="Times New Roman"/>
          <w:sz w:val="28"/>
          <w:szCs w:val="28"/>
        </w:rPr>
        <w:t xml:space="preserve"> в целом по сравнению с утвержденным бюджетом увеличивается на сумму 149089,4 тыс. руб. (в т. ч. ранее  внесенные- 32420,2 тыс. руб.)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-дефицит бюджета </w:t>
      </w:r>
      <w:r>
        <w:rPr>
          <w:rFonts w:cs="Times New Roman" w:ascii="Times New Roman" w:hAnsi="Times New Roman"/>
          <w:sz w:val="28"/>
          <w:szCs w:val="28"/>
        </w:rPr>
        <w:t>по сравнению с утвержденным бюджетом увеличится на сумму 5579,2 тыс. руб. (в т.ч. ранее внесенные-65,5 тыс. руб.)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-верхний предел муниципального внутреннего долга </w:t>
      </w:r>
      <w:r>
        <w:rPr>
          <w:rFonts w:cs="Times New Roman" w:ascii="Times New Roman" w:hAnsi="Times New Roman"/>
          <w:sz w:val="28"/>
          <w:szCs w:val="28"/>
        </w:rPr>
        <w:t>на 1 января 2016 года в проекте Решения по сравнению с утвержденным бюджетом снизился на 12968,0 тыс. руб. ( в т.ч. ранее внесенные изменения- 7968,0 тыс. руб.)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Ранее в Решение о бюджете были внесены изменения в основные характеристики бюджета муниципального образования на плановый период 2016 и 2017 годов :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2016 год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доходы бюджета</w:t>
      </w:r>
      <w:r>
        <w:rPr>
          <w:rFonts w:cs="Times New Roman" w:ascii="Times New Roman" w:hAnsi="Times New Roman"/>
          <w:sz w:val="28"/>
          <w:szCs w:val="28"/>
        </w:rPr>
        <w:t xml:space="preserve"> увеличились по сравнению с утвержденным бюджетом на 11850,5 тыс. руб., в том числе безвозмездные поступления увеличились на 24,0 тыс. руб. 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расходы бюджета</w:t>
      </w:r>
      <w:r>
        <w:rPr>
          <w:rFonts w:cs="Times New Roman" w:ascii="Times New Roman" w:hAnsi="Times New Roman"/>
          <w:sz w:val="28"/>
          <w:szCs w:val="28"/>
        </w:rPr>
        <w:t xml:space="preserve"> увеличились по сравнению с утвержденным бюджетом на 11850,5 тыс. руб.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Данным проектом Решения изменения в основные характеристики районного бюджета на плановый период 2016 год не вносятся.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верхний предел муниципального внутреннего долга </w:t>
      </w:r>
      <w:r>
        <w:rPr>
          <w:rFonts w:cs="Times New Roman" w:ascii="Times New Roman" w:hAnsi="Times New Roman"/>
          <w:sz w:val="28"/>
          <w:szCs w:val="28"/>
        </w:rPr>
        <w:t xml:space="preserve"> на 1 января 2017 года в проекте Решения по сравнению с утвержденным бюджетом снизился на 12872,0 тыс. руб. ( в т.ч. ранее внесенными изменениями 7872,0 тыс. руб.)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2017 год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доходы бюджета </w:t>
      </w:r>
      <w:r>
        <w:rPr>
          <w:rFonts w:cs="Times New Roman" w:ascii="Times New Roman" w:hAnsi="Times New Roman"/>
          <w:sz w:val="28"/>
          <w:szCs w:val="28"/>
        </w:rPr>
        <w:t>увеличились по сравнению с утвержденным бюджетом на 11716,8 тыс. руб., в том числе безвозмездные поступления увеличились на 21,0 тыс. руб.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расходы бюджета</w:t>
      </w:r>
      <w:r>
        <w:rPr>
          <w:rFonts w:cs="Times New Roman" w:ascii="Times New Roman" w:hAnsi="Times New Roman"/>
          <w:sz w:val="28"/>
          <w:szCs w:val="28"/>
        </w:rPr>
        <w:t xml:space="preserve"> увеличились по сравнению с утвержденным бюджетом на 11716,8 тыс. руб. 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Данным проектом Решения изменения в основные характеристики районного бюджета на плановый период 2017 год не вносятся.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верхний предел муниципального внутреннего долга </w:t>
      </w:r>
      <w:r>
        <w:rPr>
          <w:rFonts w:cs="Times New Roman" w:ascii="Times New Roman" w:hAnsi="Times New Roman"/>
          <w:sz w:val="28"/>
          <w:szCs w:val="28"/>
        </w:rPr>
        <w:t xml:space="preserve"> на 1 января 2018 года в проекте Решения по сравнению с утвержденным бюджетом снизился на 12500 тыс. руб.(в том числе ранее внесенные изменения- 7500,0 тыс. руб.)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дефицит бюджета </w:t>
      </w:r>
      <w:r>
        <w:rPr>
          <w:rFonts w:cs="Times New Roman" w:ascii="Times New Roman" w:hAnsi="Times New Roman"/>
          <w:sz w:val="28"/>
          <w:szCs w:val="28"/>
        </w:rPr>
        <w:t>на 2016 и 2017 годы проектом Решения не изменяется.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Доходы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Согласно  изменениям, внесенным в бюджет района, доходная часть на 2015год увеличена на 154668,6 тыс. руб. (в т.ч. ренее внесенными изменениями - 32354,8 тыс.руб.) по сравнению с  первоначально утвержденным бюджетом и составляет 748314,8 тыс.руб.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целом, увеличение доходной части бюджета района произошло за счет: 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Табл.1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тыс.руб.</w:t>
      </w:r>
    </w:p>
    <w:tbl>
      <w:tblPr>
        <w:tblStyle w:val="a4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25"/>
        <w:gridCol w:w="2174"/>
        <w:gridCol w:w="2117"/>
        <w:gridCol w:w="2254"/>
      </w:tblGrid>
      <w:tr>
        <w:trPr/>
        <w:tc>
          <w:tcPr>
            <w:tcW w:w="302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9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Сумма изменений 2015 год</w:t>
            </w:r>
          </w:p>
        </w:tc>
        <w:tc>
          <w:tcPr>
            <w:tcW w:w="225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>
        <w:trPr/>
        <w:tc>
          <w:tcPr>
            <w:tcW w:w="302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Проект по отношению к Решению 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Ранее внесенные изменения</w:t>
            </w:r>
          </w:p>
        </w:tc>
        <w:tc>
          <w:tcPr>
            <w:tcW w:w="225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+4385,0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+4385,0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+477,4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+612,3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-134,9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+4,0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+4,0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+1500,0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+1500,0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+3975,0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+3975,0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+347,5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+42,5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+305,0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+61810,0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+21810,0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+40000,0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Штрафы,санкции, возмещение ущерба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+50,0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+50,0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+20071,0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+20071,0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+26,0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+26,0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+66829,7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+66829,7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 , имеющих целевое назначение, прошлых лет из бюджетов муниципальных районов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-4807,0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-4807,0</w:t>
            </w:r>
          </w:p>
        </w:tc>
      </w:tr>
      <w:tr>
        <w:trPr/>
        <w:tc>
          <w:tcPr>
            <w:tcW w:w="3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21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154668,6</w:t>
            </w:r>
          </w:p>
        </w:tc>
        <w:tc>
          <w:tcPr>
            <w:tcW w:w="21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32354,8</w:t>
            </w:r>
          </w:p>
        </w:tc>
        <w:tc>
          <w:tcPr>
            <w:tcW w:w="2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122313,8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Согласно пояснительной записки к уточнению бюджета Сортавальского муниципального района на 2015 год и плановый период 2016-2017 годов увеличение доходов в основном связано  с реализацией Программы приватизации муниципального имущества, а также в связи с увеличением безвозмездных поступлений в бюджет Сортавальского муниципального района из бюджетов других уровней.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Расходы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Проектом Решения установлены расходы на 2015 год в сумме 770856,5 тыс.руб., что на 149089,4 тыс. руб. ( в т.ч. ранее внесенные изменения - 32420,3 тыс. руб.) больше  первоначально утвержденного бюджета.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Изменения в плановом периоде 2016 и 2017 годов ранее вносились в Решение о бюджете. </w:t>
      </w:r>
      <w:r>
        <w:rPr>
          <w:rFonts w:cs="Times New Roman" w:ascii="Times New Roman" w:hAnsi="Times New Roman"/>
          <w:sz w:val="28"/>
          <w:szCs w:val="28"/>
        </w:rPr>
        <w:t>Данным проектом Решения, изменения в основные характеристики районного бюджета, к которым относится общий объем расходов на плановый период 2016 и 2017  годов, не вносятся.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8"/>
          <w:szCs w:val="28"/>
          <w:lang w:eastAsia="ru-RU"/>
        </w:rPr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Анализ изменений, внесенных в проект Решения по расходам районного бюджета на 2015 году,  приведен в табл. 2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Табл.2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тыс. руб.</w:t>
      </w:r>
    </w:p>
    <w:tbl>
      <w:tblPr>
        <w:tblStyle w:val="a4"/>
        <w:tblW w:w="1074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02"/>
        <w:gridCol w:w="1416"/>
        <w:gridCol w:w="1701"/>
        <w:gridCol w:w="1418"/>
        <w:gridCol w:w="1417"/>
        <w:gridCol w:w="1985"/>
      </w:tblGrid>
      <w:tr>
        <w:trPr/>
        <w:tc>
          <w:tcPr>
            <w:tcW w:w="280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7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>
        <w:trPr/>
        <w:tc>
          <w:tcPr>
            <w:tcW w:w="280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в.т.ч. ранее внесенные изменения 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Гр3-гр.2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tabs>
                <w:tab w:val="left" w:pos="252" w:leader="none"/>
                <w:tab w:val="left" w:pos="1433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ab/>
              <w:t xml:space="preserve">Изменения </w:t>
            </w:r>
          </w:p>
          <w:p>
            <w:pPr>
              <w:pStyle w:val="ListParagraph"/>
              <w:widowControl w:val="false"/>
              <w:tabs>
                <w:tab w:val="left" w:pos="252" w:leader="none"/>
                <w:tab w:val="left" w:pos="1433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Гр.5-гр.4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70289,1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107388,9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+23905,9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+37099,8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tabs>
                <w:tab w:val="center" w:pos="884" w:leader="none"/>
                <w:tab w:val="right" w:pos="1769" w:leader="none"/>
              </w:tabs>
              <w:spacing w:lineRule="auto" w:line="240" w:before="0" w:after="0"/>
              <w:ind w:left="0" w:right="318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ab/>
              <w:t>+13193,9</w:t>
              <w:tab/>
              <w:t>+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+142,1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+142,1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2160,4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4508,4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+5638,3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+2348,0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-3290,3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15048,8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+2297,2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+14522,6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+12225,,4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428906,9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454209,8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+149,8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+25302,9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+25153,1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33349,9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75005,1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+429,1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+41655,2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+41226,1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69429,5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81819,5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+12390,0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+12390,0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9409,0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25037,8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+15628,8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tabs>
                <w:tab w:val="left" w:pos="372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ab/>
              <w:t>+15628,8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621767,1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770856,5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+32420,3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+149089,4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tabs>
                <w:tab w:val="left" w:pos="18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ab/>
              <w:t>+116669,1</w:t>
            </w:r>
          </w:p>
        </w:tc>
      </w:tr>
    </w:tbl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right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8"/>
          <w:szCs w:val="28"/>
          <w:lang w:eastAsia="ru-RU"/>
        </w:rPr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 по следующим разделам: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- 0100 «Общегосударственные вопросы»  на сумму 37099,8 тыс. руб. (в т.ч. ранее внесенные изменения- 23905,9 тыс.руб.);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-0300 «Национальная безопасность и правоохранительная деятельность» на сумму 142,1 тыс.руб.;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- 0400 «Национальная экономика» на сумму 2348,0 тыс.руб.;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- 0500 «Жилищно-коммунальное хозяйство» на  сумму  14522,6   ( в т.ч. ранее внесенные изменения -2297,2 тыс.руб.);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- 0700 «Образование» на сумму 25302,9 тыс. руб. (в т.ч. ранее внесенные изменения -  149,8 тыс.руб).;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- 0800 «Культура, кинематография» на сумму 41655,2 тыс. руб. (в т.ч. ранее внесенные изменения - 429,1 тыс.руб.);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-1000 «Социальная политика» на сумму 12390,0 тыс. руб. 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-1400 «Межбюджетные трансферты общего характера бюджетам субъектов  РФ и муниципальных образований» на сумму 15628,8 тыс. руб.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значительно не изменилась. Как и в утвержденном бюджете основную долю расходов района в 2015 году  составят расходы на образование – 58,9 процента ( в утвержденном бюджете – 69 процентов), на общегосударственные расходы – 14 процентов (11,3%), на социальную политику – 10,6 процента (11,2%), культуру и кинематографию – 9,7 процента (5,4%).   </w:t>
      </w:r>
    </w:p>
    <w:p>
      <w:pPr>
        <w:pStyle w:val="ListParagraph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Согласно пояснительной записки к уточнению бюджета Сортавальского муниципального района на 2015 год и плановый период 2016-2017 годов увеличение бюджетных ассигнований в основном связано с исполнением районного бюджета по межбюджетным трансфертам, полученным из бюджета Республики Карелия и бюджетов поселений Сортавальского муниципального района, в соответствии с заключенными Соглашениями; исполнением расходов по переданным из бюджета Республики Карелия субсидиям, а также в связи с обращениями главных распорядителей бюджетных средств на увеличение планируемых расходов по решению вопросов местного значения в сумме 29768,4 тыс. руб.</w:t>
      </w:r>
    </w:p>
    <w:p>
      <w:pPr>
        <w:pStyle w:val="ListParagraph"/>
        <w:ind w:left="0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</w:t>
      </w:r>
    </w:p>
    <w:p>
      <w:pPr>
        <w:pStyle w:val="Normal"/>
        <w:numPr>
          <w:ilvl w:val="0"/>
          <w:numId w:val="0"/>
        </w:numPr>
        <w:tabs>
          <w:tab w:val="left" w:pos="616" w:leader="none"/>
          <w:tab w:val="left" w:pos="841" w:leader="none"/>
          <w:tab w:val="left" w:pos="1000" w:leader="none"/>
        </w:tabs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Дефицит (профицит) бюджета</w:t>
      </w:r>
    </w:p>
    <w:p>
      <w:pPr>
        <w:pStyle w:val="Normal"/>
        <w:tabs>
          <w:tab w:val="left" w:pos="616" w:leader="none"/>
          <w:tab w:val="left" w:pos="841" w:leader="none"/>
          <w:tab w:val="left" w:pos="10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left" w:pos="616" w:leader="none"/>
          <w:tab w:val="left" w:pos="841" w:leader="none"/>
          <w:tab w:val="left" w:pos="10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Первоначально решением Совета Сортавальского муниципального района  от 25.12.2014 № 94 «О бюджете Сортавальского муниципального района на 2015 год и плановый период 2016 и 2017 годов» бюджет района на 2015 год утвержден с дефицитом в сумме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28120,9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тыс. руб.</w:t>
      </w:r>
    </w:p>
    <w:p>
      <w:pPr>
        <w:pStyle w:val="Normal"/>
        <w:tabs>
          <w:tab w:val="left" w:pos="616" w:leader="none"/>
          <w:tab w:val="left" w:pos="841" w:leader="none"/>
          <w:tab w:val="left" w:pos="10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проекте Решения дефицит бюджета уменьшился на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5579,2 тыс. руб., и составил 22541,7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Согласно пункта 3 статьи 92.1 БК РФ,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355869,1 тыс. руб.. 10 % от этой суммы составляет 35586,91 тыс. руб.  </w:t>
      </w:r>
    </w:p>
    <w:p>
      <w:pPr>
        <w:pStyle w:val="Normal"/>
        <w:tabs>
          <w:tab w:val="left" w:pos="616" w:leader="none"/>
          <w:tab w:val="left" w:pos="841" w:leader="none"/>
          <w:tab w:val="left" w:pos="10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Таким образом, в проекте Решения объем дефицита бюджета не превышает предельный размер, установленный пунктом 3 статьи 92.1 БК РФ.         </w:t>
      </w:r>
    </w:p>
    <w:p>
      <w:pPr>
        <w:pStyle w:val="Normal"/>
        <w:tabs>
          <w:tab w:val="left" w:pos="616" w:leader="none"/>
          <w:tab w:val="left" w:pos="841" w:leader="none"/>
          <w:tab w:val="left" w:pos="100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Пояснения по уменьшению размера дефицита бюджета района не представлены.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Размер дефицита бюджета характеризуется следующими данными.</w:t>
      </w:r>
    </w:p>
    <w:p>
      <w:pPr>
        <w:pStyle w:val="ListParagraph"/>
        <w:ind w:left="0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ind w:lef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(тыс. руб.)</w:t>
      </w:r>
    </w:p>
    <w:tbl>
      <w:tblPr>
        <w:tblStyle w:val="a4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92"/>
        <w:gridCol w:w="3120"/>
        <w:gridCol w:w="2659"/>
      </w:tblGrid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Проект Решения о внесении изменений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Общий объем  доходов районного бюджета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593646,2</w:t>
            </w:r>
          </w:p>
        </w:tc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748314,8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310326,0</w:t>
            </w:r>
          </w:p>
        </w:tc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392445,7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283320,2</w:t>
            </w:r>
          </w:p>
        </w:tc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355869,1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621767,1</w:t>
            </w:r>
          </w:p>
        </w:tc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770856,5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28120,9</w:t>
            </w:r>
          </w:p>
        </w:tc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22541,7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6,3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14660,0</w:t>
            </w:r>
          </w:p>
        </w:tc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25000,0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11560,0</w:t>
            </w:r>
          </w:p>
        </w:tc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-2598,0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26220,0</w:t>
            </w:r>
          </w:p>
        </w:tc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22402,0</w:t>
            </w:r>
          </w:p>
        </w:tc>
      </w:tr>
      <w:tr>
        <w:trPr/>
        <w:tc>
          <w:tcPr>
            <w:tcW w:w="379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2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1900,9</w:t>
            </w:r>
          </w:p>
        </w:tc>
        <w:tc>
          <w:tcPr>
            <w:tcW w:w="2659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139,7</w:t>
            </w:r>
          </w:p>
        </w:tc>
      </w:tr>
    </w:tbl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на 26 %, общий объем расходов местного бюджета на 24 %. Темп увеличения доходов опережает темп увеличения расходов на 2 процентных пункта, что привело к снижению объема дефицита районного бюджета.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Решением о бюджете была утверждена программа муниципальных внутренних заимствований на 2015 год с итогом муниципальных внутренних заимствований в сумме 26220,0 тыс. руб. Проектом Решения предлагается изменить программу муниципальных внутренних заимствований районного бюджета на 2015 г. с итогом муниципальных внутренних заимствований в сумме 22402,0 тыс. руб.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Муниципальный долг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Первоначально статьей 1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решения Совета Сортавальского муниципального района  от 25.12.2014 № 94 «О бюджете Сортавальского муниципального района на 2015 год и плановый период 2016 и 2017 годов» </w:t>
      </w:r>
      <w:r>
        <w:rPr>
          <w:rFonts w:cs="Times New Roman" w:ascii="Times New Roman" w:hAnsi="Times New Roman"/>
          <w:sz w:val="28"/>
          <w:szCs w:val="28"/>
        </w:rPr>
        <w:t>установлен верхний предел муниципального долга Сортавальского муниципального района: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1 января 2016 года – в сумме 108750,0 тыс. рублей, в том числе по муниципальным гарантиям 0,0 тыс. рублей;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1 января 2017 года – в сумме 137095,0 тыс. рублей, в том числе по муниципальным гарантиям 0,0 тыс. рублей;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1 января 2018 года – в сумме 167000,0 тыс. рублей, в том числе по муниципальным гарантиям 0,0 тыс. рублей.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проекте Решения верхний предел муниципального долга снижен  и составил: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1 января 2016 года – в сумме 95782,0 тыс. рублей, в том числе по муниципальным гарантиям 0,0 тыс. рублей;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1 января 2017 года – в сумме 124223,0 тыс. рублей, в том числе по муниципальным гарантиям 0,0 тыс. рублей;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1 января 2018 года – в сумме 154500,0 тыс. рублей, в том числе по муниципальным гарантиям 0,0 тыс. рублей.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проекте Решения предельный объем муниципального долга установлен на 2015 год в объеме 128380,0 тыс. руб. ( утвержденный – 130000 тыс. руб.), на 2016 год в объеме 159782,0 тыс. руб.( утвержденный- 160000 тыс. руб.), на 2017 год в объеме 191223,0 тыс. руб.( утвержденный – 190000,0 тыс. руб.).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Таким образом,  предельный объем муниципального долга установленный в проекте Решения не превысил норм, установленных Бюджетным кодексом Российской Федерации.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изменение верхнего предела муниципального внутреннего долга на 01.01.2016г., на 01.01.2017г., на 01.01.2018г. повлияло изменение программы муниципальных внутренних заимствований районного бюджета на 2015 год.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 ,  приведен в таб.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(тыс.руб.)</w:t>
      </w:r>
    </w:p>
    <w:tbl>
      <w:tblPr>
        <w:tblStyle w:val="a4"/>
        <w:tblW w:w="930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81"/>
        <w:gridCol w:w="2012"/>
        <w:gridCol w:w="2154"/>
        <w:gridCol w:w="2152"/>
      </w:tblGrid>
      <w:tr>
        <w:trPr>
          <w:trHeight w:val="265" w:hRule="atLeast"/>
        </w:trPr>
        <w:tc>
          <w:tcPr>
            <w:tcW w:w="298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</w:tr>
      <w:tr>
        <w:trPr>
          <w:trHeight w:val="168" w:hRule="atLeast"/>
        </w:trPr>
        <w:tc>
          <w:tcPr>
            <w:tcW w:w="298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1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Изменения (+;-)</w:t>
            </w:r>
          </w:p>
        </w:tc>
      </w:tr>
      <w:tr>
        <w:trPr>
          <w:trHeight w:val="265" w:hRule="atLeast"/>
        </w:trPr>
        <w:tc>
          <w:tcPr>
            <w:tcW w:w="298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Бюджетные кредиты, в т.ч.</w:t>
            </w:r>
          </w:p>
        </w:tc>
        <w:tc>
          <w:tcPr>
            <w:tcW w:w="201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11560,0</w:t>
            </w:r>
          </w:p>
        </w:tc>
        <w:tc>
          <w:tcPr>
            <w:tcW w:w="215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-2598,0</w:t>
            </w:r>
          </w:p>
        </w:tc>
        <w:tc>
          <w:tcPr>
            <w:tcW w:w="215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-14158,0</w:t>
            </w:r>
          </w:p>
        </w:tc>
      </w:tr>
      <w:tr>
        <w:trPr>
          <w:trHeight w:val="265" w:hRule="atLeast"/>
        </w:trPr>
        <w:tc>
          <w:tcPr>
            <w:tcW w:w="298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15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215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-5000,0</w:t>
            </w:r>
          </w:p>
        </w:tc>
      </w:tr>
      <w:tr>
        <w:trPr>
          <w:trHeight w:val="265" w:hRule="atLeast"/>
        </w:trPr>
        <w:tc>
          <w:tcPr>
            <w:tcW w:w="298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13440,0</w:t>
            </w:r>
          </w:p>
        </w:tc>
        <w:tc>
          <w:tcPr>
            <w:tcW w:w="215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22598,0</w:t>
            </w:r>
          </w:p>
        </w:tc>
        <w:tc>
          <w:tcPr>
            <w:tcW w:w="215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+9158,0</w:t>
            </w:r>
          </w:p>
        </w:tc>
      </w:tr>
      <w:tr>
        <w:trPr>
          <w:trHeight w:val="265" w:hRule="atLeast"/>
        </w:trPr>
        <w:tc>
          <w:tcPr>
            <w:tcW w:w="298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т.ч. </w:t>
            </w:r>
          </w:p>
        </w:tc>
        <w:tc>
          <w:tcPr>
            <w:tcW w:w="201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14660,0</w:t>
            </w:r>
          </w:p>
        </w:tc>
        <w:tc>
          <w:tcPr>
            <w:tcW w:w="215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15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+10340,0</w:t>
            </w:r>
          </w:p>
        </w:tc>
      </w:tr>
      <w:tr>
        <w:trPr>
          <w:trHeight w:val="265" w:hRule="atLeast"/>
        </w:trPr>
        <w:tc>
          <w:tcPr>
            <w:tcW w:w="298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15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215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+20000,0</w:t>
            </w:r>
          </w:p>
        </w:tc>
      </w:tr>
      <w:tr>
        <w:trPr>
          <w:trHeight w:val="265" w:hRule="atLeast"/>
        </w:trPr>
        <w:tc>
          <w:tcPr>
            <w:tcW w:w="298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15340,0</w:t>
            </w:r>
          </w:p>
        </w:tc>
        <w:tc>
          <w:tcPr>
            <w:tcW w:w="215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15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+9660,0</w:t>
            </w:r>
          </w:p>
        </w:tc>
      </w:tr>
      <w:tr>
        <w:trPr>
          <w:trHeight w:val="265" w:hRule="atLeast"/>
        </w:trPr>
        <w:tc>
          <w:tcPr>
            <w:tcW w:w="298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муниципальные внутренние заимствования, в т.ч.</w:t>
            </w:r>
          </w:p>
        </w:tc>
        <w:tc>
          <w:tcPr>
            <w:tcW w:w="201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26220,0</w:t>
            </w:r>
          </w:p>
        </w:tc>
        <w:tc>
          <w:tcPr>
            <w:tcW w:w="215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22402,0</w:t>
            </w:r>
          </w:p>
        </w:tc>
        <w:tc>
          <w:tcPr>
            <w:tcW w:w="215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-3818,0</w:t>
            </w:r>
          </w:p>
        </w:tc>
      </w:tr>
      <w:tr>
        <w:trPr>
          <w:trHeight w:val="265" w:hRule="atLeast"/>
        </w:trPr>
        <w:tc>
          <w:tcPr>
            <w:tcW w:w="298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201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215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215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+15000,0</w:t>
            </w:r>
          </w:p>
        </w:tc>
      </w:tr>
      <w:tr>
        <w:trPr>
          <w:trHeight w:val="265" w:hRule="atLeast"/>
        </w:trPr>
        <w:tc>
          <w:tcPr>
            <w:tcW w:w="2981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28780,0</w:t>
            </w:r>
          </w:p>
        </w:tc>
        <w:tc>
          <w:tcPr>
            <w:tcW w:w="215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47598,0</w:t>
            </w:r>
          </w:p>
        </w:tc>
        <w:tc>
          <w:tcPr>
            <w:tcW w:w="215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+18818,0</w:t>
            </w:r>
          </w:p>
        </w:tc>
      </w:tr>
    </w:tbl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планируемом увеличении общего годового объема привлечения муниципальных внутренних заимствований относительно утвержденных Решением о бюджете на 15000,0 тыс. руб. и увеличении объема погашения муниципальных внутренних заимствований на 18818,0 тыс. руб. произошло снижение общего объема муниципальных внутренних заимствований на 3818,0 тыс. руб., в том числе за счет: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Снижения объема заимствований в виде бюджетных кредитов от других бюджетов бюджетной системы РФ в размере 14158,0 тыс. руб. ;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Увеличения объема заимствований в виде кредитов, полученных от кредитных организаций в валюте РФ, в размере 10340,0 тыс. руб.</w:t>
      </w:r>
    </w:p>
    <w:p>
      <w:pPr>
        <w:pStyle w:val="Normal"/>
        <w:tabs>
          <w:tab w:val="left" w:pos="567" w:leader="none"/>
        </w:tabs>
        <w:ind w:firstLine="56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Программная часть проекта Решения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Первоначально статьей 6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решения Совета Сортавальского муниципального района  от 25.12.2014 № 94 «О бюджете Сортавальского муниципального района на 2015 год и плановый период 2016 и 2017 годов» были утверждены бюджетные ассигнования на реализацию муниципальной программы Сортавальского муниципального района «Управление муниципальными финансами на 2015-2017 годы» в объеме на 2015 год -22640,0 тыс. руб., на 2016 год- 22187,5 тыс. руб., на 2017 год – 21418,2 тыс. руб.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Ранее в утвержденный бюджет вносились изменения в части изменения бюджетных ассигнований на реализацию муниципальной программы «Управление муниципальными финансами на 2015-2017 годы». На 2015 год были увеличены бюджетные ассигнования  на 891,3 тыс. руб. и составили 23531,3 тыс. руб.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Данным проектом Решения изменения бюджетных ассигнований на реализацию муниципальной программы «Управление муниципальными финансами на 2015-2017 годы» не предусмотрено.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Постановлением администрации Сортавальского муниципального района от 12.03.2015г. №40 «О внесении изменений в муниципальную программу Сортавальского муниципального района «Управление муниципальными финансами на 2015-2017 года», утвержденную Постановлением администрации Сортавальского муниципального района от 09.10.2014г. №107»  объем бюджетных ассигнований на реализацию муниципальной программы приведен в соответствии с объемом бюджетных ассигнований на реализацию данной программы, утвержденных Решением о бюджете, что соответствует п.2 ст.179 БК РФ.    </w:t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Анализ текстовых статей проекта Решения</w:t>
      </w: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ListParagraph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Выводы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67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Корректировка бюджета обусловлена уточнением прогноза доходов, в основном связанных 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реализацией Программы приватизации муниципального имущества, а также в связи с увеличением безвозмездных поступлений в бюджет Сортавальского муниципального района из бюджетов других уровней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67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2015 финансовый год доходы бюджета увеличатся на 154668,6 тыс. руб. ( на 26%), расходы  бюджета увеличатся на 149089,4 тыс. руб. (на 24%), дефицит бюджета снизится на 5579,2 тыс. руб. ( на 19,8%);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плановом периоде 2016 года доходы увеличились на 11850,5 тыс. руб.(на 2 %), расходы увеличились на 11850,5 тыс. руб. (на 1,9%), дефицит бюджета не изменился. На  2017 год доходы увеличились на 11716,8 тыс. руб. (на 2%), расходы бюджета увеличились на 11716,8 тыс. руб. (на 1,9%), дефицит бюджета не изменился.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Корректировка бюджетных ассигнований предполагает сохранение расходных обязательств по приоритетным направлениям, ранее утвержденным в районном бюджете.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Так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образование (58,9%), на общегосударственные вопросы (13,9%), на социальную политику (10,6%), на культуру и кинематографию (9,7%).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районного бюджета, объему муниципального долга и расходов на его обслуживание, предельному объему заимствований.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Предложения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 принять изменения и дополнения в решение  Совета Сортавальского муниципального района №94 от 25.12.2014 года «О бюджете Сортавальского муниципального района на 2015 год и на плановый период 2016-2017 годов».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контрольно-счетного комитета                             Н.А. Астафьева</w:t>
      </w:r>
    </w:p>
    <w:sectPr>
      <w:headerReference w:type="defaul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922544259"/>
    </w:sdtPr>
    <w:sdtContent>
      <w:p>
        <w:pPr>
          <w:pStyle w:val="Style18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paragraph" w:styleId="4">
    <w:name w:val="Заголовок 4"/>
    <w:basedOn w:val="Normal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4821a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0" w:customStyle="1">
    <w:name w:val="Верхний колонтитул Знак"/>
    <w:basedOn w:val="DefaultParagraphFont"/>
    <w:link w:val="a5"/>
    <w:uiPriority w:val="99"/>
    <w:qFormat/>
    <w:rsid w:val="004821a1"/>
    <w:rPr/>
  </w:style>
  <w:style w:type="character" w:styleId="Style11" w:customStyle="1">
    <w:name w:val="Нижний колонтитул Знак"/>
    <w:basedOn w:val="DefaultParagraphFont"/>
    <w:link w:val="a7"/>
    <w:uiPriority w:val="99"/>
    <w:qFormat/>
    <w:rsid w:val="004821a1"/>
    <w:rPr/>
  </w:style>
  <w:style w:type="character" w:styleId="Style12" w:customStyle="1">
    <w:name w:val="Текст выноски Знак"/>
    <w:basedOn w:val="DefaultParagraphFont"/>
    <w:link w:val="a9"/>
    <w:uiPriority w:val="99"/>
    <w:semiHidden/>
    <w:qFormat/>
    <w:rsid w:val="00d04a4b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ascii="Calibri" w:hAnsi="Calibri"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Calibri" w:hAnsi="Calibri" w:cs="Mangal"/>
    </w:rPr>
  </w:style>
  <w:style w:type="paragraph" w:styleId="ListParagraph">
    <w:name w:val="List Paragraph"/>
    <w:basedOn w:val="Normal"/>
    <w:uiPriority w:val="34"/>
    <w:qFormat/>
    <w:rsid w:val="005b3dfb"/>
    <w:pPr>
      <w:spacing w:before="0" w:after="200"/>
      <w:ind w:left="720" w:hanging="0"/>
      <w:contextualSpacing/>
    </w:pPr>
    <w:rPr/>
  </w:style>
  <w:style w:type="paragraph" w:styleId="Style18">
    <w:name w:val="Верхний колонтитул"/>
    <w:basedOn w:val="Normal"/>
    <w:link w:val="a6"/>
    <w:uiPriority w:val="99"/>
    <w:unhideWhenUsed/>
    <w:rsid w:val="004821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Нижний колонтитул"/>
    <w:basedOn w:val="Normal"/>
    <w:link w:val="a8"/>
    <w:uiPriority w:val="99"/>
    <w:unhideWhenUsed/>
    <w:rsid w:val="004821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d04a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3"/>
    <w:pPr/>
    <w:rPr/>
  </w:style>
  <w:style w:type="paragraph" w:styleId="Style22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5782-505D-4A52-A6B9-79F899DF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Application>LibreOffice/4.4.1.2$Windows_x86 LibreOffice_project/45e2de17089c24a1fa810c8f975a7171ba4cd432</Application>
  <Paragraphs>353</Paragraphs>
  <Company>Администрация Сортавальского мун.района от.бух.учета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2015-01-27T08:16:00Z</dcterms:created>
  <dc:creator>WORKST031</dc:creator>
  <dc:language>ru-RU</dc:language>
  <cp:lastPrinted>2015-04-28T13:00:00Z</cp:lastPrinted>
  <dcterms:modified xsi:type="dcterms:W3CDTF">2015-06-08T22:18:29Z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Сортавальского мун.района от.бух.учета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