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6786A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745112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№36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4671CE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1B95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3D1B95">
        <w:rPr>
          <w:rFonts w:ascii="Times New Roman" w:hAnsi="Times New Roman" w:cs="Times New Roman"/>
          <w:b/>
          <w:sz w:val="28"/>
          <w:szCs w:val="28"/>
        </w:rPr>
        <w:t>47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C906B6">
        <w:rPr>
          <w:rFonts w:ascii="Times New Roman" w:hAnsi="Times New Roman" w:cs="Times New Roman"/>
          <w:sz w:val="28"/>
          <w:szCs w:val="28"/>
        </w:rPr>
        <w:t>декабря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 2014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 xml:space="preserve">№36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1972F3" w:rsidRPr="001972F3">
        <w:rPr>
          <w:rFonts w:ascii="Times New Roman" w:hAnsi="Times New Roman" w:cs="Times New Roman"/>
          <w:sz w:val="28"/>
          <w:szCs w:val="28"/>
        </w:rPr>
        <w:t>4</w:t>
      </w:r>
      <w:r w:rsidRPr="001972F3">
        <w:rPr>
          <w:rFonts w:ascii="Times New Roman" w:hAnsi="Times New Roman" w:cs="Times New Roman"/>
          <w:sz w:val="28"/>
          <w:szCs w:val="28"/>
        </w:rPr>
        <w:t>.12.2014г.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555A6">
        <w:rPr>
          <w:rFonts w:ascii="Times New Roman" w:hAnsi="Times New Roman" w:cs="Times New Roman"/>
          <w:sz w:val="28"/>
          <w:szCs w:val="28"/>
        </w:rPr>
        <w:t>поселения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созыва</w:t>
      </w:r>
      <w:r w:rsidR="002555A6">
        <w:rPr>
          <w:rFonts w:ascii="Times New Roman" w:hAnsi="Times New Roman" w:cs="Times New Roman"/>
          <w:sz w:val="28"/>
          <w:szCs w:val="28"/>
        </w:rPr>
        <w:t xml:space="preserve">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D0AAA">
        <w:rPr>
          <w:rFonts w:ascii="Times New Roman" w:hAnsi="Times New Roman" w:cs="Times New Roman"/>
          <w:sz w:val="28"/>
          <w:szCs w:val="28"/>
        </w:rPr>
        <w:t>№36 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т 24.12.2014г.  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671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1CE" w:rsidRP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созыва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№36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от 24.12.2014г. «О бюджете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4671CE">
        <w:rPr>
          <w:rFonts w:ascii="Times New Roman" w:hAnsi="Times New Roman" w:cs="Times New Roman"/>
          <w:sz w:val="28"/>
          <w:szCs w:val="28"/>
        </w:rPr>
        <w:t>-5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26B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6BCD">
        <w:rPr>
          <w:rFonts w:ascii="Times New Roman" w:hAnsi="Times New Roman" w:cs="Times New Roman"/>
          <w:sz w:val="28"/>
          <w:szCs w:val="28"/>
        </w:rPr>
        <w:t xml:space="preserve">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4671CE">
        <w:rPr>
          <w:rFonts w:ascii="Times New Roman" w:hAnsi="Times New Roman" w:cs="Times New Roman"/>
          <w:sz w:val="28"/>
          <w:szCs w:val="28"/>
        </w:rPr>
        <w:t>26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4671CE">
        <w:rPr>
          <w:rFonts w:ascii="Times New Roman" w:hAnsi="Times New Roman" w:cs="Times New Roman"/>
          <w:sz w:val="28"/>
          <w:szCs w:val="28"/>
        </w:rPr>
        <w:t>октября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4671CE">
        <w:rPr>
          <w:rFonts w:ascii="Times New Roman" w:hAnsi="Times New Roman" w:cs="Times New Roman"/>
          <w:sz w:val="28"/>
          <w:szCs w:val="28"/>
        </w:rPr>
        <w:t xml:space="preserve"> №36 от 24.12.2014г.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B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иваются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671CE">
        <w:rPr>
          <w:rFonts w:ascii="Times New Roman" w:eastAsia="Times New Roman" w:hAnsi="Times New Roman"/>
          <w:sz w:val="28"/>
          <w:szCs w:val="28"/>
          <w:lang w:eastAsia="ru-RU"/>
        </w:rPr>
        <w:t>5053,4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</w:t>
      </w:r>
      <w:r w:rsidR="00E9291C">
        <w:rPr>
          <w:rFonts w:ascii="Times New Roman" w:eastAsia="Times New Roman" w:hAnsi="Times New Roman"/>
          <w:sz w:val="28"/>
          <w:szCs w:val="28"/>
          <w:lang w:eastAsia="ru-RU"/>
        </w:rPr>
        <w:t xml:space="preserve">4579,3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EC2F17">
        <w:rPr>
          <w:rFonts w:ascii="Times New Roman" w:eastAsia="Times New Roman" w:hAnsi="Times New Roman"/>
          <w:sz w:val="28"/>
          <w:szCs w:val="28"/>
          <w:lang w:eastAsia="ru-RU"/>
        </w:rPr>
        <w:t>474,1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B61" w:rsidRDefault="00652F3E" w:rsidP="001948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671CE">
        <w:rPr>
          <w:rFonts w:ascii="Times New Roman" w:eastAsia="Times New Roman" w:hAnsi="Times New Roman"/>
          <w:sz w:val="28"/>
          <w:szCs w:val="28"/>
          <w:lang w:eastAsia="ru-RU"/>
        </w:rPr>
        <w:t>5214,1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4671CE">
        <w:rPr>
          <w:rFonts w:ascii="Times New Roman" w:eastAsia="Times New Roman" w:hAnsi="Times New Roman"/>
          <w:sz w:val="28"/>
          <w:szCs w:val="28"/>
          <w:lang w:eastAsia="ru-RU"/>
        </w:rPr>
        <w:t>4552,9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</w:t>
      </w:r>
      <w:r w:rsidR="00EC2F17">
        <w:rPr>
          <w:rFonts w:ascii="Times New Roman" w:eastAsia="Times New Roman" w:hAnsi="Times New Roman"/>
          <w:sz w:val="28"/>
          <w:szCs w:val="28"/>
          <w:lang w:eastAsia="ru-RU"/>
        </w:rPr>
        <w:t>474,1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</w:t>
      </w:r>
      <w:r w:rsidR="00B66A24">
        <w:rPr>
          <w:rFonts w:ascii="Times New Roman" w:hAnsi="Times New Roman" w:cs="Times New Roman"/>
          <w:sz w:val="28"/>
          <w:szCs w:val="28"/>
        </w:rPr>
        <w:t xml:space="preserve"> увеличивается на 160,7 тыс. руб</w:t>
      </w:r>
      <w:r w:rsidR="00BE0022">
        <w:rPr>
          <w:rFonts w:ascii="Times New Roman" w:hAnsi="Times New Roman" w:cs="Times New Roman"/>
          <w:sz w:val="28"/>
          <w:szCs w:val="28"/>
        </w:rPr>
        <w:t>.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5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352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352E3">
        <w:rPr>
          <w:rFonts w:ascii="Times New Roman" w:hAnsi="Times New Roman" w:cs="Times New Roman"/>
          <w:sz w:val="28"/>
          <w:szCs w:val="28"/>
        </w:rPr>
        <w:t xml:space="preserve">. </w:t>
      </w:r>
      <w:r w:rsidR="004671CE">
        <w:rPr>
          <w:rFonts w:ascii="Times New Roman" w:hAnsi="Times New Roman" w:cs="Times New Roman"/>
          <w:sz w:val="28"/>
          <w:szCs w:val="28"/>
        </w:rPr>
        <w:t>ранее внесенными изменениями дефицит бюджета поселения был у</w:t>
      </w:r>
      <w:r w:rsidR="000352E3">
        <w:rPr>
          <w:rFonts w:ascii="Times New Roman" w:hAnsi="Times New Roman" w:cs="Times New Roman"/>
          <w:sz w:val="28"/>
          <w:szCs w:val="28"/>
        </w:rPr>
        <w:t>величен на 160,7 тыс. руб.)</w:t>
      </w:r>
      <w:r w:rsidR="00B66A24">
        <w:rPr>
          <w:rFonts w:ascii="Times New Roman" w:hAnsi="Times New Roman" w:cs="Times New Roman"/>
          <w:sz w:val="28"/>
          <w:szCs w:val="28"/>
        </w:rPr>
        <w:t>.</w:t>
      </w:r>
      <w:r w:rsidR="000352E3">
        <w:rPr>
          <w:rFonts w:ascii="Times New Roman" w:hAnsi="Times New Roman" w:cs="Times New Roman"/>
          <w:sz w:val="28"/>
          <w:szCs w:val="28"/>
        </w:rPr>
        <w:t xml:space="preserve"> Представленным проектом изменения в размер дефицита бюджета поселения не вносятся.  </w:t>
      </w:r>
    </w:p>
    <w:p w:rsid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0352E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долга в валюте РФ и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</w:t>
      </w:r>
      <w:proofErr w:type="gramStart"/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082E">
        <w:rPr>
          <w:rFonts w:ascii="Times New Roman" w:hAnsi="Times New Roman" w:cs="Times New Roman"/>
          <w:sz w:val="28"/>
          <w:szCs w:val="28"/>
        </w:rPr>
        <w:t xml:space="preserve"> </w:t>
      </w:r>
      <w:r w:rsidR="000352E3">
        <w:rPr>
          <w:rFonts w:ascii="Times New Roman" w:hAnsi="Times New Roman" w:cs="Times New Roman"/>
          <w:sz w:val="28"/>
          <w:szCs w:val="28"/>
        </w:rPr>
        <w:t>в представленном проекте остается без изменений</w:t>
      </w:r>
      <w:r w:rsidR="008F082E">
        <w:rPr>
          <w:rFonts w:ascii="Times New Roman" w:hAnsi="Times New Roman" w:cs="Times New Roman"/>
          <w:sz w:val="28"/>
          <w:szCs w:val="28"/>
        </w:rPr>
        <w:t>.</w:t>
      </w:r>
    </w:p>
    <w:p w:rsidR="00371306" w:rsidRPr="008D5C20" w:rsidRDefault="00371306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Pr="006C4894" w:rsidRDefault="0037130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2015год увеличится на </w:t>
      </w:r>
      <w:r w:rsidR="000352E3">
        <w:rPr>
          <w:rFonts w:ascii="Times New Roman" w:eastAsia="Times New Roman" w:hAnsi="Times New Roman"/>
          <w:sz w:val="28"/>
          <w:szCs w:val="28"/>
          <w:lang w:eastAsia="ru-RU"/>
        </w:rPr>
        <w:t xml:space="preserve">5053,4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E9291C">
        <w:rPr>
          <w:rFonts w:ascii="Times New Roman" w:eastAsia="Times New Roman" w:hAnsi="Times New Roman"/>
          <w:sz w:val="28"/>
          <w:szCs w:val="28"/>
          <w:lang w:eastAsia="ru-RU"/>
        </w:rPr>
        <w:t>4579,3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</w:t>
      </w:r>
      <w:r w:rsidR="000352E3">
        <w:rPr>
          <w:rFonts w:ascii="Times New Roman" w:eastAsia="Times New Roman" w:hAnsi="Times New Roman"/>
          <w:sz w:val="28"/>
          <w:szCs w:val="28"/>
          <w:lang w:eastAsia="ru-RU"/>
        </w:rPr>
        <w:t>14032,9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EF7A6F" w:rsidRPr="00CE1430" w:rsidTr="00C17CE9">
        <w:tc>
          <w:tcPr>
            <w:tcW w:w="516" w:type="dxa"/>
            <w:vMerge w:val="restart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1886" w:type="dxa"/>
            <w:vMerge w:val="restart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F7A6F" w:rsidRPr="00CE1430" w:rsidTr="00C17CE9">
        <w:tc>
          <w:tcPr>
            <w:tcW w:w="516" w:type="dxa"/>
            <w:vMerge/>
          </w:tcPr>
          <w:p w:rsidR="00EF7A6F" w:rsidRPr="00CE1430" w:rsidRDefault="00EF7A6F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EF7A6F" w:rsidRPr="00CE1430" w:rsidRDefault="00EF7A6F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EF7A6F" w:rsidRPr="00CE1430" w:rsidRDefault="00EF7A6F" w:rsidP="000352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035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210CCE" w:rsidRPr="00CE1430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210CCE" w:rsidRPr="00CE1430" w:rsidRDefault="00210CC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1890,5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1890,5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210CCE" w:rsidRPr="00CE1430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63" w:type="dxa"/>
          </w:tcPr>
          <w:p w:rsidR="00210CCE" w:rsidRPr="00CE1430" w:rsidRDefault="00210CC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2206,1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1907,3</w:t>
            </w:r>
          </w:p>
        </w:tc>
        <w:tc>
          <w:tcPr>
            <w:tcW w:w="1886" w:type="dxa"/>
          </w:tcPr>
          <w:p w:rsidR="00210CCE" w:rsidRPr="00CE1430" w:rsidRDefault="00210CCE" w:rsidP="00E929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9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298,8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6" w:type="dxa"/>
          </w:tcPr>
          <w:p w:rsidR="00210CCE" w:rsidRPr="00CE1430" w:rsidRDefault="00210CCE" w:rsidP="00EF7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210CCE" w:rsidRPr="00CE1430" w:rsidRDefault="00210CC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1762,1</w:t>
            </w:r>
          </w:p>
        </w:tc>
        <w:tc>
          <w:tcPr>
            <w:tcW w:w="1760" w:type="dxa"/>
          </w:tcPr>
          <w:p w:rsidR="00210CCE" w:rsidRPr="00CE1430" w:rsidRDefault="00210CCE" w:rsidP="00210C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1463,3</w:t>
            </w:r>
          </w:p>
        </w:tc>
        <w:tc>
          <w:tcPr>
            <w:tcW w:w="1886" w:type="dxa"/>
          </w:tcPr>
          <w:p w:rsidR="00210CCE" w:rsidRPr="00CE1430" w:rsidRDefault="00210CCE" w:rsidP="00E929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9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298,8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210CCE" w:rsidRPr="00CE1430" w:rsidRDefault="00210CCE" w:rsidP="00633D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210CCE" w:rsidRPr="00CE1430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1426,0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1299,0</w:t>
            </w:r>
          </w:p>
        </w:tc>
        <w:tc>
          <w:tcPr>
            <w:tcW w:w="1886" w:type="dxa"/>
          </w:tcPr>
          <w:p w:rsidR="00210CCE" w:rsidRPr="00CE1430" w:rsidRDefault="00E9291C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+127,0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210CCE" w:rsidRPr="00CE1430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210CCE" w:rsidRPr="00CE1430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210CCE" w:rsidRPr="00CE1430" w:rsidRDefault="00210CCE" w:rsidP="006803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210CCE" w:rsidRPr="00CE1430" w:rsidRDefault="00210CCE" w:rsidP="00105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417,0</w:t>
            </w:r>
          </w:p>
        </w:tc>
        <w:tc>
          <w:tcPr>
            <w:tcW w:w="1886" w:type="dxa"/>
          </w:tcPr>
          <w:p w:rsidR="00210CCE" w:rsidRPr="00CE1430" w:rsidRDefault="00E9291C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-17,0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210CCE" w:rsidRPr="00CE1430" w:rsidRDefault="00210CCE" w:rsidP="00623F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210CCE" w:rsidRPr="00CE1430" w:rsidRDefault="00E9291C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210CCE" w:rsidRPr="00CE1430" w:rsidRDefault="00E9291C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+65,3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210CCE" w:rsidRPr="00CE1430" w:rsidRDefault="00E9291C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6260,7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6260,7</w:t>
            </w:r>
          </w:p>
        </w:tc>
        <w:tc>
          <w:tcPr>
            <w:tcW w:w="1886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10CCE" w:rsidRPr="00CE1430" w:rsidTr="00C17CE9">
        <w:tc>
          <w:tcPr>
            <w:tcW w:w="51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210CCE" w:rsidRPr="00CE1430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210CCE" w:rsidRPr="00CE1430" w:rsidRDefault="00E9291C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14032,9</w:t>
            </w:r>
          </w:p>
        </w:tc>
        <w:tc>
          <w:tcPr>
            <w:tcW w:w="1760" w:type="dxa"/>
          </w:tcPr>
          <w:p w:rsidR="00210CCE" w:rsidRPr="00CE1430" w:rsidRDefault="00210CCE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13558,8</w:t>
            </w:r>
          </w:p>
        </w:tc>
        <w:tc>
          <w:tcPr>
            <w:tcW w:w="1886" w:type="dxa"/>
          </w:tcPr>
          <w:p w:rsidR="00210CCE" w:rsidRPr="00CE1430" w:rsidRDefault="00210CCE" w:rsidP="00E929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9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474,1</w:t>
            </w:r>
          </w:p>
        </w:tc>
      </w:tr>
    </w:tbl>
    <w:p w:rsidR="00C17CE9" w:rsidRDefault="00C17CE9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E9" w:rsidRPr="00114876" w:rsidRDefault="00C17CE9" w:rsidP="00C17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увеличение доходов в основном связано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поступлением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налоговых доходов по земельному налогу и неналоговых доходов от арендной платы 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прочих доходов от компенсации затрат бюджета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утвержденных прогнозных показателей.  </w:t>
      </w:r>
      <w:proofErr w:type="gramEnd"/>
    </w:p>
    <w:p w:rsidR="004821A1" w:rsidRPr="00EA4DAE" w:rsidRDefault="00EA4DAE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4F13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проекте Решения не изменилась. </w:t>
      </w: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91C" w:rsidRDefault="00E9291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91C" w:rsidRDefault="00E9291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291C" w:rsidRDefault="00E9291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BE0022">
        <w:rPr>
          <w:rFonts w:ascii="Times New Roman" w:eastAsia="Times New Roman" w:hAnsi="Times New Roman"/>
          <w:sz w:val="28"/>
          <w:szCs w:val="28"/>
          <w:lang w:eastAsia="ru-RU"/>
        </w:rPr>
        <w:t>14352,7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BE0022">
        <w:rPr>
          <w:rFonts w:ascii="Times New Roman" w:eastAsia="Times New Roman" w:hAnsi="Times New Roman"/>
          <w:sz w:val="28"/>
          <w:szCs w:val="28"/>
          <w:lang w:eastAsia="ru-RU"/>
        </w:rPr>
        <w:t>5214,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4740,0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66432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 поселения на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474,1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0356CC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65433" w:rsidRPr="000356CC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0356CC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843" w:type="dxa"/>
          </w:tcPr>
          <w:p w:rsidR="00065433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65433" w:rsidRPr="000356CC" w:rsidRDefault="0006543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6C783B" w:rsidRPr="000356CC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3928,2</w:t>
            </w:r>
          </w:p>
        </w:tc>
        <w:tc>
          <w:tcPr>
            <w:tcW w:w="2268" w:type="dxa"/>
          </w:tcPr>
          <w:p w:rsidR="006C783B" w:rsidRPr="000356CC" w:rsidRDefault="00E900E5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4234,3</w:t>
            </w:r>
          </w:p>
        </w:tc>
        <w:tc>
          <w:tcPr>
            <w:tcW w:w="1843" w:type="dxa"/>
          </w:tcPr>
          <w:p w:rsidR="006C783B" w:rsidRPr="000356CC" w:rsidRDefault="00C6059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+306,1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6C783B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6C783B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843" w:type="dxa"/>
          </w:tcPr>
          <w:p w:rsidR="006C783B" w:rsidRDefault="006C783B" w:rsidP="00E900E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E90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6C783B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2209,5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2209,5</w:t>
            </w:r>
          </w:p>
        </w:tc>
        <w:tc>
          <w:tcPr>
            <w:tcW w:w="1843" w:type="dxa"/>
          </w:tcPr>
          <w:p w:rsidR="006C783B" w:rsidRDefault="00E900E5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6C783B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2671,9</w:t>
            </w:r>
          </w:p>
        </w:tc>
        <w:tc>
          <w:tcPr>
            <w:tcW w:w="2268" w:type="dxa"/>
          </w:tcPr>
          <w:p w:rsidR="006C783B" w:rsidRDefault="00E900E5" w:rsidP="00E900E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2839,9</w:t>
            </w:r>
          </w:p>
        </w:tc>
        <w:tc>
          <w:tcPr>
            <w:tcW w:w="1843" w:type="dxa"/>
          </w:tcPr>
          <w:p w:rsidR="006C783B" w:rsidRDefault="00E900E5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+168,0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6C783B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4630,0</w:t>
            </w:r>
          </w:p>
        </w:tc>
        <w:tc>
          <w:tcPr>
            <w:tcW w:w="2268" w:type="dxa"/>
          </w:tcPr>
          <w:p w:rsidR="006C783B" w:rsidRDefault="00E900E5" w:rsidP="00E900E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4630,0</w:t>
            </w:r>
          </w:p>
        </w:tc>
        <w:tc>
          <w:tcPr>
            <w:tcW w:w="1843" w:type="dxa"/>
          </w:tcPr>
          <w:p w:rsidR="006C783B" w:rsidRDefault="00C6059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6C783B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C783B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C783B" w:rsidRDefault="006C783B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6C783B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13878,6</w:t>
            </w:r>
          </w:p>
        </w:tc>
        <w:tc>
          <w:tcPr>
            <w:tcW w:w="2268" w:type="dxa"/>
          </w:tcPr>
          <w:p w:rsidR="006C783B" w:rsidRDefault="00E900E5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14352,7</w:t>
            </w:r>
          </w:p>
        </w:tc>
        <w:tc>
          <w:tcPr>
            <w:tcW w:w="1843" w:type="dxa"/>
          </w:tcPr>
          <w:p w:rsidR="006C783B" w:rsidRDefault="00E900E5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+474,1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1A38A5" w:rsidRPr="00CB1323" w:rsidRDefault="001A38A5" w:rsidP="001A38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«Общегосударственные вопросы»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306,1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168,0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60599" w:rsidRDefault="00C60599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2C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BD14E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BD14EA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</w:t>
      </w:r>
      <w:r w:rsidR="00EF192C">
        <w:rPr>
          <w:rFonts w:ascii="Times New Roman" w:hAnsi="Times New Roman" w:cs="Times New Roman"/>
          <w:sz w:val="28"/>
          <w:szCs w:val="28"/>
        </w:rPr>
        <w:t xml:space="preserve"> от </w:t>
      </w:r>
      <w:r w:rsidR="00C60599">
        <w:rPr>
          <w:rFonts w:ascii="Times New Roman" w:hAnsi="Times New Roman" w:cs="Times New Roman"/>
          <w:sz w:val="28"/>
          <w:szCs w:val="28"/>
        </w:rPr>
        <w:t>26.10</w:t>
      </w:r>
      <w:r w:rsidR="00EF192C">
        <w:rPr>
          <w:rFonts w:ascii="Times New Roman" w:hAnsi="Times New Roman" w:cs="Times New Roman"/>
          <w:sz w:val="28"/>
          <w:szCs w:val="28"/>
        </w:rPr>
        <w:t>.2015г.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расходов: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92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306,1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C7">
        <w:rPr>
          <w:rFonts w:ascii="Times New Roman" w:hAnsi="Times New Roman" w:cs="Times New Roman"/>
          <w:sz w:val="28"/>
          <w:szCs w:val="28"/>
        </w:rPr>
        <w:t xml:space="preserve">в связи с увеличением расходов на </w:t>
      </w:r>
      <w:r w:rsidR="00C60599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поселения, а также в связи с увеличением расходов на содержание муниципального имущества</w:t>
      </w:r>
      <w:r w:rsidR="00CE1DC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94A59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4A2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«Жилищно-коммунальное хозяйство» в сумме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168,0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руб.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CE1DC7" w:rsidRDefault="00987B0F" w:rsidP="00CE1DC7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307E" w:rsidRPr="00CE1DC7">
        <w:rPr>
          <w:rFonts w:ascii="Times New Roman" w:eastAsia="Times New Roman" w:hAnsi="Times New Roman"/>
          <w:sz w:val="28"/>
          <w:szCs w:val="28"/>
          <w:lang w:eastAsia="ru-RU"/>
        </w:rPr>
        <w:t>о подразделу «Ж</w:t>
      </w:r>
      <w:r w:rsidR="00EC24A2" w:rsidRPr="00CE1DC7">
        <w:rPr>
          <w:rFonts w:ascii="Times New Roman" w:eastAsia="Times New Roman" w:hAnsi="Times New Roman"/>
          <w:sz w:val="28"/>
          <w:szCs w:val="28"/>
          <w:lang w:eastAsia="ru-RU"/>
        </w:rPr>
        <w:t>илищно</w:t>
      </w:r>
      <w:r w:rsidR="0086307E" w:rsidRPr="00CE1D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24A2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86307E" w:rsidRPr="00CE1DC7">
        <w:rPr>
          <w:rFonts w:ascii="Times New Roman" w:eastAsia="Times New Roman" w:hAnsi="Times New Roman"/>
          <w:sz w:val="28"/>
          <w:szCs w:val="28"/>
          <w:lang w:eastAsia="ru-RU"/>
        </w:rPr>
        <w:t>о»</w:t>
      </w:r>
      <w:r w:rsidR="00EC24A2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t>увеличение состави</w:t>
      </w:r>
      <w:r w:rsidR="00CE1DC7" w:rsidRPr="00CE1D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133,0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4CC3" w:rsidRDefault="00DE4CC3" w:rsidP="00CE1DC7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расходов на мероприятия в области жилищного хозяйства в рамках муниципальной программы «Проведение отдельных видов работ по капитальному ремонту на объектах муниципального жилого фонда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2014-2017 годах» в сумме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133,0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CC3" w:rsidRDefault="00987B0F" w:rsidP="00DE4CC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подразделу «Благоустройство» увеличение составит </w:t>
      </w:r>
      <w:r w:rsidR="00C60599">
        <w:rPr>
          <w:rFonts w:ascii="Times New Roman" w:eastAsia="Times New Roman" w:hAnsi="Times New Roman"/>
          <w:sz w:val="28"/>
          <w:szCs w:val="28"/>
          <w:lang w:eastAsia="ru-RU"/>
        </w:rPr>
        <w:t>35,0</w:t>
      </w:r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987B0F" w:rsidRDefault="00DE4CC3" w:rsidP="00DE4CC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расходов на мероприятия по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территории поселения, в т. ч.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уличному освещению, в связи с 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>тем, что 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>бюджетные назначения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утверждены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расчетной потребности.</w:t>
      </w:r>
    </w:p>
    <w:p w:rsidR="00987B0F" w:rsidRDefault="00987B0F" w:rsidP="00987B0F">
      <w:pPr>
        <w:pStyle w:val="a3"/>
        <w:widowControl w:val="0"/>
        <w:spacing w:after="0" w:line="240" w:lineRule="auto"/>
        <w:ind w:left="11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FDA" w:rsidRDefault="00E70FDA" w:rsidP="00E70FD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качестве финансово-экономических обоснований Контрольно-счетным комитетом были рассмотрены расчеты дополнительной потребности бюджетных ассигнований на установление расходных обязательств бюджета  поселения.</w:t>
      </w:r>
    </w:p>
    <w:p w:rsidR="001A38A5" w:rsidRPr="00A85709" w:rsidRDefault="001A38A5" w:rsidP="00A8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F0C" w:rsidRDefault="00132F0C" w:rsidP="00C72A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334BCB" w:rsidRPr="00EA4DAE" w:rsidRDefault="00334BCB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A5C" w:rsidRDefault="008B4A5C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B76E38" w:rsidRDefault="008B4A5C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2015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размер дефицита бюджета поселения на 2015 г. остается в объеме 319,8 тыс. руб.,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160,7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первоначально утвержденного</w:t>
      </w:r>
      <w:r w:rsidR="00B76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733" w:rsidRDefault="00343F67" w:rsidP="00B76E3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76E38" w:rsidRDefault="00B76E38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E38" w:rsidRPr="0032282F" w:rsidRDefault="00B76E38" w:rsidP="00B76E38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76E38" w:rsidRPr="0032282F" w:rsidRDefault="00B76E38" w:rsidP="00B76E3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   Первоначально статьей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B7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7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плановый период 2016 и 2017 годов» были утверждены бюджетные ассигнования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МЦП «Пожарная безопасность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2015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322,5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2016 год-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МЦП «Развитие дорожного хозяйства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поселении» в объеме на 2015 год – 594,5 тыс. руб., на 2016 год – 736,6 тыс. руб., на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– 130,0 тыс. руб.; МЦП «Проведение отдельных видов работ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 на объектах муниципального жилого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в объеме на 2015 год – 60,0 тыс. руб., на 2016 год – 50,0 тыс. руб., на 2017 год – 35,0 тыс. руб.; МЦП «Повышение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2015 год – 145,5 тыс. руб., 2016 год – 0,0 тыс. руб., 2017 год – 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B76E38" w:rsidRPr="0032282F" w:rsidRDefault="00B76E38" w:rsidP="00B76E3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Ранее в утвержденный бюджет вносились изменения в части изменения бюджетных ассигнований на реализацию муниципальной программы «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дорожного хозяйства в </w:t>
      </w:r>
      <w:proofErr w:type="spellStart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</w:t>
      </w:r>
      <w:proofErr w:type="spellEnd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были увеличены бюджетные ассигнования  на 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179,3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составили 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773,8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2016г.- 946,7 тыс. руб. (+210,1 тыс. руб.), 2017 год – 803,2 тыс. руб. (+673,2 тыс. руб.).</w:t>
      </w:r>
      <w:proofErr w:type="gramEnd"/>
    </w:p>
    <w:p w:rsidR="00B76E38" w:rsidRPr="0032282F" w:rsidRDefault="00B76E38" w:rsidP="00B76E3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увеличить по сравнению с уточненным бюджетом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отдельных видов работ по капитальному ремонту на объектах муниципального жилого фонда </w:t>
      </w:r>
      <w:proofErr w:type="spellStart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на сумму 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243,0 тыс. руб. По МЦП «Пожарная безопасность </w:t>
      </w:r>
      <w:proofErr w:type="spellStart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7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объем бюджетных ассигнований на 2015 год предлагается снизить</w:t>
      </w:r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240,0 тыс. руб.</w:t>
      </w:r>
      <w:proofErr w:type="gramStart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составят 82,5 тыс. руб. По МЦП «Повышение </w:t>
      </w:r>
      <w:proofErr w:type="spellStart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энергосбережения </w:t>
      </w:r>
      <w:proofErr w:type="spellStart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C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также предлагается снизить бюджетные ассигнования на реализацию программы в 2015 году на 2,1 тыс. руб. и утвердить в объеме 143,4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E38" w:rsidRPr="0032282F" w:rsidRDefault="00B76E38" w:rsidP="00B76E3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финансово-экономических обоснований Контрольно-счетным комитетом были рассмотрены расчеты дополнительной потребности бюджетных ассигнований на установление расходных обязательств бюджета </w:t>
      </w:r>
      <w:r w:rsidR="00CE593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45440">
        <w:rPr>
          <w:rFonts w:ascii="Times New Roman" w:hAnsi="Times New Roman" w:cs="Times New Roman"/>
          <w:sz w:val="28"/>
          <w:szCs w:val="28"/>
        </w:rPr>
        <w:t xml:space="preserve">МЦП </w:t>
      </w:r>
      <w:r w:rsidR="00845440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отдельных видов работ по капитальному ремонту на объектах муниципального жилого фонда </w:t>
      </w:r>
      <w:proofErr w:type="spellStart"/>
      <w:r w:rsidR="0084544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84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845440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4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E38" w:rsidRDefault="00CE5939" w:rsidP="00CE59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Пояснительной записке к проекту Решения не представлены обоснования снижения бюджетных ассигнований на 2015 год по МЦП «Пожарная безопасность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и по МЦП «Повышение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энергосбережения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поселения».</w:t>
      </w:r>
    </w:p>
    <w:p w:rsidR="00CE5939" w:rsidRDefault="00CE5939" w:rsidP="00CE59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440" w:rsidRDefault="00845440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440" w:rsidRDefault="00845440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CC4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 xml:space="preserve">нализе текстовых статей проекта Решения </w:t>
      </w:r>
      <w:r w:rsidR="00CC4A19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влено</w:t>
      </w:r>
      <w:r w:rsidR="00CC4A19">
        <w:rPr>
          <w:rFonts w:ascii="Times New Roman" w:hAnsi="Times New Roman" w:cs="Times New Roman"/>
          <w:sz w:val="28"/>
          <w:szCs w:val="28"/>
        </w:rPr>
        <w:t xml:space="preserve">, что Приложение 9 «Перечень муниципальных целевых программ, предусмотренных к финансированию за счет средств бюджета </w:t>
      </w:r>
      <w:proofErr w:type="spellStart"/>
      <w:r w:rsidR="00CC4A1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CC4A19">
        <w:rPr>
          <w:rFonts w:ascii="Times New Roman" w:hAnsi="Times New Roman" w:cs="Times New Roman"/>
          <w:sz w:val="28"/>
          <w:szCs w:val="28"/>
        </w:rPr>
        <w:t xml:space="preserve"> городского поселения на 2015год и на плановый период 2016 и 2017 годов» предлагается изложить в редакции согласно приложени</w:t>
      </w:r>
      <w:r w:rsidR="00845440">
        <w:rPr>
          <w:rFonts w:ascii="Times New Roman" w:hAnsi="Times New Roman" w:cs="Times New Roman"/>
          <w:sz w:val="28"/>
          <w:szCs w:val="28"/>
        </w:rPr>
        <w:t>ю</w:t>
      </w:r>
      <w:r w:rsidR="00CC4A19">
        <w:rPr>
          <w:rFonts w:ascii="Times New Roman" w:hAnsi="Times New Roman" w:cs="Times New Roman"/>
          <w:sz w:val="28"/>
          <w:szCs w:val="28"/>
        </w:rPr>
        <w:t xml:space="preserve"> 5 к проекту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A19" w:rsidRDefault="00CC4A19" w:rsidP="00CC4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Табличная часть приложения 5 к проекту Решения не содержит планового периода 2016 года и 2017 года.</w:t>
      </w:r>
    </w:p>
    <w:p w:rsidR="00CE5939" w:rsidRDefault="00CE5939" w:rsidP="00CC4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</w:t>
      </w:r>
      <w:r w:rsidR="00845440"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C8" w:rsidRDefault="00497926" w:rsidP="00475A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обусловлена</w:t>
      </w:r>
      <w:r w:rsidR="009E4FEF">
        <w:rPr>
          <w:rFonts w:ascii="Times New Roman" w:hAnsi="Times New Roman"/>
          <w:sz w:val="28"/>
          <w:szCs w:val="28"/>
        </w:rPr>
        <w:t xml:space="preserve"> уточнением прогноза доходов, в основном связанных </w:t>
      </w:r>
      <w:r w:rsidR="005B656B">
        <w:rPr>
          <w:rFonts w:ascii="Times New Roman" w:hAnsi="Times New Roman"/>
          <w:sz w:val="28"/>
          <w:szCs w:val="28"/>
        </w:rPr>
        <w:t xml:space="preserve">с </w:t>
      </w:r>
      <w:r w:rsidR="00371306">
        <w:rPr>
          <w:rFonts w:ascii="Times New Roman" w:hAnsi="Times New Roman"/>
          <w:sz w:val="28"/>
          <w:szCs w:val="28"/>
        </w:rPr>
        <w:t xml:space="preserve">увеличением суммы поступлений </w:t>
      </w:r>
      <w:r w:rsidR="00953061">
        <w:rPr>
          <w:rFonts w:ascii="Times New Roman" w:hAnsi="Times New Roman"/>
          <w:sz w:val="28"/>
          <w:szCs w:val="28"/>
        </w:rPr>
        <w:t xml:space="preserve">по </w:t>
      </w:r>
      <w:r w:rsidR="00371306">
        <w:rPr>
          <w:rFonts w:ascii="Times New Roman" w:hAnsi="Times New Roman"/>
          <w:sz w:val="28"/>
          <w:szCs w:val="28"/>
        </w:rPr>
        <w:t>земельно</w:t>
      </w:r>
      <w:r w:rsidR="00953061">
        <w:rPr>
          <w:rFonts w:ascii="Times New Roman" w:hAnsi="Times New Roman"/>
          <w:sz w:val="28"/>
          <w:szCs w:val="28"/>
        </w:rPr>
        <w:t>му</w:t>
      </w:r>
      <w:r w:rsidR="00371306">
        <w:rPr>
          <w:rFonts w:ascii="Times New Roman" w:hAnsi="Times New Roman"/>
          <w:sz w:val="28"/>
          <w:szCs w:val="28"/>
        </w:rPr>
        <w:t xml:space="preserve"> налог</w:t>
      </w:r>
      <w:r w:rsidR="00953061">
        <w:rPr>
          <w:rFonts w:ascii="Times New Roman" w:hAnsi="Times New Roman"/>
          <w:sz w:val="28"/>
          <w:szCs w:val="28"/>
        </w:rPr>
        <w:t>у</w:t>
      </w:r>
      <w:r w:rsidR="00CE5939" w:rsidRPr="00CE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от арендной платы за земельные участки и прочих доходов от компенсации затрат бюджета городского поселения сверх утвержденных прогнозных показателей</w:t>
      </w:r>
      <w:r w:rsidR="00371306">
        <w:rPr>
          <w:rFonts w:ascii="Times New Roman" w:hAnsi="Times New Roman"/>
          <w:sz w:val="28"/>
          <w:szCs w:val="28"/>
        </w:rPr>
        <w:t>.</w:t>
      </w:r>
    </w:p>
    <w:p w:rsidR="00FB2978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C41DC3" w:rsidRDefault="00063016" w:rsidP="000630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</w:t>
      </w:r>
      <w:r w:rsidR="00C41DC3" w:rsidRPr="008C0F0A">
        <w:rPr>
          <w:rFonts w:ascii="Times New Roman" w:hAnsi="Times New Roman" w:cs="Times New Roman"/>
          <w:sz w:val="28"/>
          <w:szCs w:val="28"/>
        </w:rPr>
        <w:t>оходы на 2015 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5053,4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>тыс. руб. (ранее внесенными изменениями в решение о бюджете доходная часть бюджета поселения увеличена на 4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> 579,3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>474,1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C41DC3" w:rsidRDefault="008C0F0A" w:rsidP="008C0F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</w:t>
      </w:r>
      <w:r w:rsidR="00C41DC3" w:rsidRPr="008C0F0A">
        <w:rPr>
          <w:rFonts w:ascii="Times New Roman" w:hAnsi="Times New Roman" w:cs="Times New Roman"/>
          <w:sz w:val="28"/>
          <w:szCs w:val="28"/>
        </w:rPr>
        <w:t>асходы бюджета на 2015</w:t>
      </w:r>
      <w:r w:rsidRPr="008C0F0A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8C0F0A">
        <w:rPr>
          <w:rFonts w:ascii="Times New Roman" w:hAnsi="Times New Roman" w:cs="Times New Roman"/>
          <w:sz w:val="28"/>
          <w:szCs w:val="28"/>
        </w:rPr>
        <w:t>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5214,1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(ранее внесенными изменениями в решение о бюджете доходная часть бюджета поселения </w:t>
      </w:r>
      <w:r w:rsidR="003D1B9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увеличена на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>4740,0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>474,1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72B80" w:rsidRPr="005B656B" w:rsidRDefault="00672B80" w:rsidP="008C0F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на 2015 год по сравнению с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>уточненным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бюджетом, в представленном проекте Решения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увеличивается.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5DD4" w:rsidRDefault="00497926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45440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845440">
        <w:rPr>
          <w:rFonts w:ascii="Times New Roman" w:hAnsi="Times New Roman" w:cs="Times New Roman"/>
          <w:sz w:val="28"/>
          <w:szCs w:val="28"/>
          <w:lang w:val="en-US"/>
        </w:rPr>
        <w:t>XXII</w:t>
      </w:r>
      <w:proofErr w:type="gramEnd"/>
      <w:r w:rsidR="00845440" w:rsidRPr="00845440">
        <w:rPr>
          <w:rFonts w:ascii="Times New Roman" w:hAnsi="Times New Roman" w:cs="Times New Roman"/>
          <w:sz w:val="28"/>
          <w:szCs w:val="28"/>
        </w:rPr>
        <w:t xml:space="preserve"> </w:t>
      </w:r>
      <w:r w:rsidR="0084544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8454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5440" w:rsidRPr="00845440">
        <w:rPr>
          <w:rFonts w:ascii="Times New Roman" w:hAnsi="Times New Roman" w:cs="Times New Roman"/>
          <w:sz w:val="28"/>
          <w:szCs w:val="28"/>
        </w:rPr>
        <w:t xml:space="preserve"> </w:t>
      </w:r>
      <w:r w:rsidR="00845440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№36 «О бюджете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E70FDA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580D91" w:rsidRDefault="00FD2FBF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36 «О бюджете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 w:rsidR="003D1B95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включения в табличную часть приложения 5 к проекту Решения планового периода 2016г. и 2017г. </w:t>
      </w:r>
      <w:proofErr w:type="gramEnd"/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953061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Н.А. Астафьева</w:t>
      </w:r>
      <w:bookmarkStart w:id="0" w:name="_GoBack"/>
      <w:bookmarkEnd w:id="0"/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6A" w:rsidRDefault="00E6786A" w:rsidP="004821A1">
      <w:pPr>
        <w:spacing w:after="0" w:line="240" w:lineRule="auto"/>
      </w:pPr>
      <w:r>
        <w:separator/>
      </w:r>
    </w:p>
  </w:endnote>
  <w:endnote w:type="continuationSeparator" w:id="0">
    <w:p w:rsidR="00E6786A" w:rsidRDefault="00E6786A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6A" w:rsidRDefault="00E6786A" w:rsidP="004821A1">
      <w:pPr>
        <w:spacing w:after="0" w:line="240" w:lineRule="auto"/>
      </w:pPr>
      <w:r>
        <w:separator/>
      </w:r>
    </w:p>
  </w:footnote>
  <w:footnote w:type="continuationSeparator" w:id="0">
    <w:p w:rsidR="00E6786A" w:rsidRDefault="00E6786A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2D">
          <w:rPr>
            <w:noProof/>
          </w:rPr>
          <w:t>9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4F48"/>
    <w:rsid w:val="000157CC"/>
    <w:rsid w:val="00024576"/>
    <w:rsid w:val="00030522"/>
    <w:rsid w:val="000312FE"/>
    <w:rsid w:val="000352E3"/>
    <w:rsid w:val="000356CC"/>
    <w:rsid w:val="0006075A"/>
    <w:rsid w:val="00063016"/>
    <w:rsid w:val="00065433"/>
    <w:rsid w:val="000661FD"/>
    <w:rsid w:val="000A2BED"/>
    <w:rsid w:val="000A31CB"/>
    <w:rsid w:val="000A43E9"/>
    <w:rsid w:val="000A6973"/>
    <w:rsid w:val="000B2D24"/>
    <w:rsid w:val="000B7EB7"/>
    <w:rsid w:val="000C1E9E"/>
    <w:rsid w:val="000C357D"/>
    <w:rsid w:val="000C3818"/>
    <w:rsid w:val="000D2A1D"/>
    <w:rsid w:val="000E08E7"/>
    <w:rsid w:val="000E1D99"/>
    <w:rsid w:val="000E4F1B"/>
    <w:rsid w:val="000F0FD9"/>
    <w:rsid w:val="000F5A53"/>
    <w:rsid w:val="00100756"/>
    <w:rsid w:val="0010428D"/>
    <w:rsid w:val="001056C2"/>
    <w:rsid w:val="001121DB"/>
    <w:rsid w:val="0011579B"/>
    <w:rsid w:val="0012728C"/>
    <w:rsid w:val="00132F0C"/>
    <w:rsid w:val="00137FA8"/>
    <w:rsid w:val="001437B2"/>
    <w:rsid w:val="00183CAA"/>
    <w:rsid w:val="00190C05"/>
    <w:rsid w:val="0019489A"/>
    <w:rsid w:val="001972F3"/>
    <w:rsid w:val="001A119B"/>
    <w:rsid w:val="001A38A5"/>
    <w:rsid w:val="001A4F50"/>
    <w:rsid w:val="001A69F5"/>
    <w:rsid w:val="001B297B"/>
    <w:rsid w:val="001C09A1"/>
    <w:rsid w:val="001C72DE"/>
    <w:rsid w:val="001E6ACC"/>
    <w:rsid w:val="001F02DA"/>
    <w:rsid w:val="00203DA1"/>
    <w:rsid w:val="002062C0"/>
    <w:rsid w:val="00210CCE"/>
    <w:rsid w:val="0021158C"/>
    <w:rsid w:val="0021742F"/>
    <w:rsid w:val="002260B9"/>
    <w:rsid w:val="0023279F"/>
    <w:rsid w:val="0025248B"/>
    <w:rsid w:val="002555A6"/>
    <w:rsid w:val="00267052"/>
    <w:rsid w:val="00285C31"/>
    <w:rsid w:val="00287EC4"/>
    <w:rsid w:val="002A2D87"/>
    <w:rsid w:val="002A7B61"/>
    <w:rsid w:val="002B7351"/>
    <w:rsid w:val="002D77C7"/>
    <w:rsid w:val="002E0E85"/>
    <w:rsid w:val="002E392C"/>
    <w:rsid w:val="002E6658"/>
    <w:rsid w:val="002F027C"/>
    <w:rsid w:val="002F7F2D"/>
    <w:rsid w:val="00316CFA"/>
    <w:rsid w:val="00324CBA"/>
    <w:rsid w:val="00333DB0"/>
    <w:rsid w:val="00334BCB"/>
    <w:rsid w:val="00343F67"/>
    <w:rsid w:val="00371306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1B95"/>
    <w:rsid w:val="003D65A7"/>
    <w:rsid w:val="003D7A48"/>
    <w:rsid w:val="003D7B5D"/>
    <w:rsid w:val="003E55C4"/>
    <w:rsid w:val="003F34AB"/>
    <w:rsid w:val="003F5CDC"/>
    <w:rsid w:val="00403238"/>
    <w:rsid w:val="00415260"/>
    <w:rsid w:val="00421808"/>
    <w:rsid w:val="00436C7C"/>
    <w:rsid w:val="00447DD6"/>
    <w:rsid w:val="00460866"/>
    <w:rsid w:val="00463740"/>
    <w:rsid w:val="004671CE"/>
    <w:rsid w:val="004712E3"/>
    <w:rsid w:val="00472CF2"/>
    <w:rsid w:val="00475AC8"/>
    <w:rsid w:val="004821A1"/>
    <w:rsid w:val="00497926"/>
    <w:rsid w:val="004A0099"/>
    <w:rsid w:val="004B2718"/>
    <w:rsid w:val="004B6D93"/>
    <w:rsid w:val="004B7640"/>
    <w:rsid w:val="004D5EF8"/>
    <w:rsid w:val="004F13EA"/>
    <w:rsid w:val="004F1A9F"/>
    <w:rsid w:val="004F4A1D"/>
    <w:rsid w:val="00507C40"/>
    <w:rsid w:val="00510DC5"/>
    <w:rsid w:val="00514803"/>
    <w:rsid w:val="005206EF"/>
    <w:rsid w:val="005350EE"/>
    <w:rsid w:val="005427F3"/>
    <w:rsid w:val="00555DD4"/>
    <w:rsid w:val="00556664"/>
    <w:rsid w:val="00562EBC"/>
    <w:rsid w:val="00580D91"/>
    <w:rsid w:val="005904B5"/>
    <w:rsid w:val="005B3DFB"/>
    <w:rsid w:val="005B4FFD"/>
    <w:rsid w:val="005B656B"/>
    <w:rsid w:val="005B7546"/>
    <w:rsid w:val="005C6C14"/>
    <w:rsid w:val="005D1D5B"/>
    <w:rsid w:val="005E4309"/>
    <w:rsid w:val="005F1B1C"/>
    <w:rsid w:val="005F630F"/>
    <w:rsid w:val="00600063"/>
    <w:rsid w:val="00615E5C"/>
    <w:rsid w:val="006206FE"/>
    <w:rsid w:val="00623F2F"/>
    <w:rsid w:val="006261AB"/>
    <w:rsid w:val="006313C9"/>
    <w:rsid w:val="00633DF7"/>
    <w:rsid w:val="00634C5C"/>
    <w:rsid w:val="00635759"/>
    <w:rsid w:val="00637C5E"/>
    <w:rsid w:val="00652636"/>
    <w:rsid w:val="00652F3E"/>
    <w:rsid w:val="00655CDF"/>
    <w:rsid w:val="00672B80"/>
    <w:rsid w:val="00673D5B"/>
    <w:rsid w:val="0068030B"/>
    <w:rsid w:val="006929F6"/>
    <w:rsid w:val="00694A59"/>
    <w:rsid w:val="006A1EE8"/>
    <w:rsid w:val="006A7E25"/>
    <w:rsid w:val="006B3D71"/>
    <w:rsid w:val="006C06BD"/>
    <w:rsid w:val="006C0EF8"/>
    <w:rsid w:val="006C4894"/>
    <w:rsid w:val="006C5692"/>
    <w:rsid w:val="006C783B"/>
    <w:rsid w:val="006D39DB"/>
    <w:rsid w:val="006E0E7B"/>
    <w:rsid w:val="006E6CCD"/>
    <w:rsid w:val="006F448D"/>
    <w:rsid w:val="00705096"/>
    <w:rsid w:val="007143A2"/>
    <w:rsid w:val="00726E99"/>
    <w:rsid w:val="007408D1"/>
    <w:rsid w:val="007442FB"/>
    <w:rsid w:val="00766432"/>
    <w:rsid w:val="0077448A"/>
    <w:rsid w:val="00776213"/>
    <w:rsid w:val="00777C45"/>
    <w:rsid w:val="00785B08"/>
    <w:rsid w:val="00785F5B"/>
    <w:rsid w:val="007C0510"/>
    <w:rsid w:val="007C4CA4"/>
    <w:rsid w:val="007F0D81"/>
    <w:rsid w:val="007F43EE"/>
    <w:rsid w:val="00821DDC"/>
    <w:rsid w:val="008316F8"/>
    <w:rsid w:val="00835B52"/>
    <w:rsid w:val="00835F91"/>
    <w:rsid w:val="008453B9"/>
    <w:rsid w:val="00845440"/>
    <w:rsid w:val="00845FE4"/>
    <w:rsid w:val="00846D10"/>
    <w:rsid w:val="008560B4"/>
    <w:rsid w:val="0086307E"/>
    <w:rsid w:val="00867DA3"/>
    <w:rsid w:val="008717FF"/>
    <w:rsid w:val="00871E43"/>
    <w:rsid w:val="00875D2A"/>
    <w:rsid w:val="00883CE1"/>
    <w:rsid w:val="0089401D"/>
    <w:rsid w:val="008A3E41"/>
    <w:rsid w:val="008B4A5C"/>
    <w:rsid w:val="008C0F0A"/>
    <w:rsid w:val="008D3CB8"/>
    <w:rsid w:val="008D5C20"/>
    <w:rsid w:val="008E3F76"/>
    <w:rsid w:val="008F082E"/>
    <w:rsid w:val="00904C93"/>
    <w:rsid w:val="00933DFE"/>
    <w:rsid w:val="00933F69"/>
    <w:rsid w:val="00953061"/>
    <w:rsid w:val="00955527"/>
    <w:rsid w:val="00975487"/>
    <w:rsid w:val="009832F5"/>
    <w:rsid w:val="00987B0F"/>
    <w:rsid w:val="009A0085"/>
    <w:rsid w:val="009A30E5"/>
    <w:rsid w:val="009A483F"/>
    <w:rsid w:val="009B3010"/>
    <w:rsid w:val="009E4FEF"/>
    <w:rsid w:val="009F091A"/>
    <w:rsid w:val="009F2E2E"/>
    <w:rsid w:val="00A21E92"/>
    <w:rsid w:val="00A24F0B"/>
    <w:rsid w:val="00A445FB"/>
    <w:rsid w:val="00A5342D"/>
    <w:rsid w:val="00A55C19"/>
    <w:rsid w:val="00A73D0C"/>
    <w:rsid w:val="00A74CED"/>
    <w:rsid w:val="00A85370"/>
    <w:rsid w:val="00A85709"/>
    <w:rsid w:val="00A92600"/>
    <w:rsid w:val="00AA29AE"/>
    <w:rsid w:val="00AB5329"/>
    <w:rsid w:val="00AC1142"/>
    <w:rsid w:val="00AF500D"/>
    <w:rsid w:val="00AF72C2"/>
    <w:rsid w:val="00B010ED"/>
    <w:rsid w:val="00B10729"/>
    <w:rsid w:val="00B15C34"/>
    <w:rsid w:val="00B175BF"/>
    <w:rsid w:val="00B25F9B"/>
    <w:rsid w:val="00B26137"/>
    <w:rsid w:val="00B43F61"/>
    <w:rsid w:val="00B455E7"/>
    <w:rsid w:val="00B54DED"/>
    <w:rsid w:val="00B66A24"/>
    <w:rsid w:val="00B722E5"/>
    <w:rsid w:val="00B76E38"/>
    <w:rsid w:val="00B911D2"/>
    <w:rsid w:val="00B95E3A"/>
    <w:rsid w:val="00BA0471"/>
    <w:rsid w:val="00BA4381"/>
    <w:rsid w:val="00BB3B24"/>
    <w:rsid w:val="00BB51FF"/>
    <w:rsid w:val="00BB6F6F"/>
    <w:rsid w:val="00BB7C13"/>
    <w:rsid w:val="00BD0AAA"/>
    <w:rsid w:val="00BD13F0"/>
    <w:rsid w:val="00BD14EA"/>
    <w:rsid w:val="00BE0022"/>
    <w:rsid w:val="00BE799C"/>
    <w:rsid w:val="00BF7B0D"/>
    <w:rsid w:val="00C0051E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6EA6"/>
    <w:rsid w:val="00C572E0"/>
    <w:rsid w:val="00C60599"/>
    <w:rsid w:val="00C64EB2"/>
    <w:rsid w:val="00C72A75"/>
    <w:rsid w:val="00C802B6"/>
    <w:rsid w:val="00C906B6"/>
    <w:rsid w:val="00C937E3"/>
    <w:rsid w:val="00CC4A19"/>
    <w:rsid w:val="00CC56F6"/>
    <w:rsid w:val="00CC57EF"/>
    <w:rsid w:val="00CD439A"/>
    <w:rsid w:val="00CD5398"/>
    <w:rsid w:val="00CE1DC7"/>
    <w:rsid w:val="00CE5939"/>
    <w:rsid w:val="00CF02E0"/>
    <w:rsid w:val="00CF7D5A"/>
    <w:rsid w:val="00D17733"/>
    <w:rsid w:val="00D26BCD"/>
    <w:rsid w:val="00D330BE"/>
    <w:rsid w:val="00D37AD5"/>
    <w:rsid w:val="00D41808"/>
    <w:rsid w:val="00D41EBE"/>
    <w:rsid w:val="00D57BF7"/>
    <w:rsid w:val="00D60B87"/>
    <w:rsid w:val="00D677C1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E4CC3"/>
    <w:rsid w:val="00DF7922"/>
    <w:rsid w:val="00E055E3"/>
    <w:rsid w:val="00E0610A"/>
    <w:rsid w:val="00E1544F"/>
    <w:rsid w:val="00E30C19"/>
    <w:rsid w:val="00E532CB"/>
    <w:rsid w:val="00E560E4"/>
    <w:rsid w:val="00E65BB4"/>
    <w:rsid w:val="00E6786A"/>
    <w:rsid w:val="00E70FDA"/>
    <w:rsid w:val="00E71386"/>
    <w:rsid w:val="00E73B20"/>
    <w:rsid w:val="00E755B2"/>
    <w:rsid w:val="00E815C6"/>
    <w:rsid w:val="00E84944"/>
    <w:rsid w:val="00E900E5"/>
    <w:rsid w:val="00E9291C"/>
    <w:rsid w:val="00E96929"/>
    <w:rsid w:val="00EA488C"/>
    <w:rsid w:val="00EA4DAE"/>
    <w:rsid w:val="00EB0B20"/>
    <w:rsid w:val="00EC24A2"/>
    <w:rsid w:val="00EC2F17"/>
    <w:rsid w:val="00ED29A7"/>
    <w:rsid w:val="00ED32E6"/>
    <w:rsid w:val="00ED7D3F"/>
    <w:rsid w:val="00EF192C"/>
    <w:rsid w:val="00EF5A02"/>
    <w:rsid w:val="00EF7A6F"/>
    <w:rsid w:val="00F26534"/>
    <w:rsid w:val="00F319C7"/>
    <w:rsid w:val="00F37918"/>
    <w:rsid w:val="00F528C5"/>
    <w:rsid w:val="00F540F6"/>
    <w:rsid w:val="00F65418"/>
    <w:rsid w:val="00F801E8"/>
    <w:rsid w:val="00F84EBD"/>
    <w:rsid w:val="00FB2978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7945-5872-4A3D-8FA1-5088534B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</cp:revision>
  <cp:lastPrinted>2015-10-27T07:37:00Z</cp:lastPrinted>
  <dcterms:created xsi:type="dcterms:W3CDTF">2015-10-27T06:15:00Z</dcterms:created>
  <dcterms:modified xsi:type="dcterms:W3CDTF">2015-10-27T07:39:00Z</dcterms:modified>
</cp:coreProperties>
</file>