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05015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годов»</w:t>
      </w:r>
    </w:p>
    <w:p w:rsidR="005B3DFB" w:rsidRDefault="002228A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8A">
        <w:rPr>
          <w:rFonts w:ascii="Times New Roman" w:hAnsi="Times New Roman" w:cs="Times New Roman"/>
          <w:b/>
          <w:sz w:val="28"/>
          <w:szCs w:val="28"/>
        </w:rPr>
        <w:t>8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</w:t>
      </w:r>
      <w:r w:rsidR="00FF7DBB" w:rsidRPr="00FF7DB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FD138A" w:rsidRPr="00FD138A">
        <w:rPr>
          <w:rFonts w:ascii="Times New Roman" w:hAnsi="Times New Roman" w:cs="Times New Roman"/>
          <w:sz w:val="28"/>
          <w:szCs w:val="28"/>
        </w:rPr>
        <w:t>5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2228AB">
        <w:rPr>
          <w:rFonts w:ascii="Times New Roman" w:hAnsi="Times New Roman" w:cs="Times New Roman"/>
          <w:sz w:val="28"/>
          <w:szCs w:val="28"/>
        </w:rPr>
        <w:t>01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марта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 xml:space="preserve">да, </w:t>
      </w:r>
      <w:r w:rsidR="009D1335" w:rsidRPr="009D1335">
        <w:rPr>
          <w:rFonts w:ascii="Times New Roman" w:hAnsi="Times New Roman" w:cs="Times New Roman"/>
          <w:sz w:val="28"/>
          <w:szCs w:val="28"/>
          <w:u w:val="single"/>
        </w:rPr>
        <w:t>что является нарушением п.3 ст. 31 Положения о бюджетном процессе Сортавальского муниципального района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904130">
        <w:rPr>
          <w:rFonts w:ascii="Times New Roman" w:hAnsi="Times New Roman" w:cs="Times New Roman"/>
          <w:sz w:val="28"/>
          <w:szCs w:val="28"/>
        </w:rPr>
        <w:t>19480,6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904130">
        <w:rPr>
          <w:rFonts w:ascii="Times New Roman" w:hAnsi="Times New Roman" w:cs="Times New Roman"/>
          <w:sz w:val="28"/>
          <w:szCs w:val="28"/>
        </w:rPr>
        <w:t xml:space="preserve">19480,6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04130">
        <w:rPr>
          <w:rFonts w:ascii="Times New Roman" w:hAnsi="Times New Roman" w:cs="Times New Roman"/>
          <w:sz w:val="28"/>
          <w:szCs w:val="28"/>
        </w:rPr>
        <w:t>19480,6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proofErr w:type="gramStart"/>
      <w:r w:rsidR="009041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4130">
        <w:rPr>
          <w:rFonts w:ascii="Times New Roman" w:hAnsi="Times New Roman" w:cs="Times New Roman"/>
          <w:sz w:val="28"/>
          <w:szCs w:val="28"/>
        </w:rPr>
        <w:t xml:space="preserve"> изменяется.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904130">
        <w:rPr>
          <w:rFonts w:ascii="Times New Roman" w:hAnsi="Times New Roman" w:cs="Times New Roman"/>
          <w:sz w:val="28"/>
          <w:szCs w:val="28"/>
        </w:rPr>
        <w:t>8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483102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sz w:val="28"/>
          <w:szCs w:val="28"/>
        </w:rPr>
        <w:t>5243</w:t>
      </w:r>
      <w:r w:rsidR="009D1335">
        <w:rPr>
          <w:rFonts w:ascii="Times New Roman" w:hAnsi="Times New Roman" w:cs="Times New Roman"/>
          <w:sz w:val="28"/>
          <w:szCs w:val="28"/>
        </w:rPr>
        <w:t>,0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F28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28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 xml:space="preserve">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904130">
        <w:rPr>
          <w:rFonts w:ascii="Times New Roman" w:hAnsi="Times New Roman" w:cs="Times New Roman"/>
          <w:sz w:val="28"/>
          <w:szCs w:val="28"/>
        </w:rPr>
        <w:t>174988,0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904130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внесение изменений в основные характеристики бюджета на плановый период 2018 и 2019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 утвержденного на 01 января 2019 года и на 01 января 2020 года верхнего предела муниципального внутреннего долга Сортавальского муниципального района в валюте РФ. По состоянию на 01.01.2019 года он увеличиться на 4981,0 тыс. руб. и составит 189178,0 тыс. руб., а на 01.01.2020г. на 5271,0 тыс. руб. и составит 205868,0 тыс. руб.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19480,6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628104,1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2162"/>
        <w:gridCol w:w="2160"/>
        <w:gridCol w:w="2242"/>
      </w:tblGrid>
      <w:tr w:rsidR="0000456D" w:rsidRPr="00CE1430" w:rsidTr="00335934">
        <w:tc>
          <w:tcPr>
            <w:tcW w:w="3007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22" w:type="dxa"/>
            <w:gridSpan w:val="2"/>
          </w:tcPr>
          <w:p w:rsidR="0000456D" w:rsidRPr="00CE1430" w:rsidRDefault="0000456D" w:rsidP="00280F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280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2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335934">
        <w:tc>
          <w:tcPr>
            <w:tcW w:w="3007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00456D" w:rsidRPr="00CE1430" w:rsidRDefault="00012D2E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Утвержденный бюджет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00456D" w:rsidRPr="00CE1430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242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157071,0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157071,0</w:t>
            </w:r>
          </w:p>
        </w:tc>
        <w:tc>
          <w:tcPr>
            <w:tcW w:w="2242" w:type="dxa"/>
          </w:tcPr>
          <w:p w:rsidR="00012D2E" w:rsidRPr="00CE1430" w:rsidRDefault="007B61F5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2123,7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2123,7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2" w:type="dxa"/>
          </w:tcPr>
          <w:p w:rsidR="00012D2E" w:rsidRPr="00CE1430" w:rsidRDefault="00335934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31101,0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31101,0</w:t>
            </w:r>
          </w:p>
        </w:tc>
        <w:tc>
          <w:tcPr>
            <w:tcW w:w="2242" w:type="dxa"/>
          </w:tcPr>
          <w:p w:rsidR="00012D2E" w:rsidRPr="00CE1430" w:rsidRDefault="007A17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3830,0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3830,0</w:t>
            </w:r>
          </w:p>
        </w:tc>
        <w:tc>
          <w:tcPr>
            <w:tcW w:w="2242" w:type="dxa"/>
          </w:tcPr>
          <w:p w:rsidR="00012D2E" w:rsidRPr="00CE1430" w:rsidRDefault="00012D2E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19726,4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19726,4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2199,2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2199,2</w:t>
            </w:r>
          </w:p>
        </w:tc>
        <w:tc>
          <w:tcPr>
            <w:tcW w:w="2242" w:type="dxa"/>
          </w:tcPr>
          <w:p w:rsidR="00012D2E" w:rsidRPr="00CE1430" w:rsidRDefault="007A177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43429,3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43429,3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50679,5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50679,5</w:t>
            </w:r>
          </w:p>
        </w:tc>
        <w:tc>
          <w:tcPr>
            <w:tcW w:w="2242" w:type="dxa"/>
          </w:tcPr>
          <w:p w:rsidR="00012D2E" w:rsidRPr="00CE1430" w:rsidRDefault="007A1776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3980,4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3980,4</w:t>
            </w:r>
          </w:p>
        </w:tc>
        <w:tc>
          <w:tcPr>
            <w:tcW w:w="2242" w:type="dxa"/>
          </w:tcPr>
          <w:p w:rsidR="00012D2E" w:rsidRPr="00CE1430" w:rsidRDefault="007A177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60" w:type="dxa"/>
          </w:tcPr>
          <w:p w:rsidR="00012D2E" w:rsidRPr="00CE1430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14716,0</w:t>
            </w:r>
          </w:p>
        </w:tc>
        <w:tc>
          <w:tcPr>
            <w:tcW w:w="2160" w:type="dxa"/>
          </w:tcPr>
          <w:p w:rsidR="00012D2E" w:rsidRDefault="004B229C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20923,0</w:t>
            </w:r>
          </w:p>
        </w:tc>
        <w:tc>
          <w:tcPr>
            <w:tcW w:w="2242" w:type="dxa"/>
          </w:tcPr>
          <w:p w:rsidR="00012D2E" w:rsidRDefault="007A1776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+6207,0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Default="00012D2E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2162" w:type="dxa"/>
          </w:tcPr>
          <w:p w:rsidR="00012D2E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012D2E" w:rsidRDefault="00335934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8556,0</w:t>
            </w:r>
          </w:p>
        </w:tc>
        <w:tc>
          <w:tcPr>
            <w:tcW w:w="2242" w:type="dxa"/>
          </w:tcPr>
          <w:p w:rsidR="00012D2E" w:rsidRDefault="007B61F5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Pr="00CE1430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279367,0</w:t>
            </w:r>
          </w:p>
        </w:tc>
        <w:tc>
          <w:tcPr>
            <w:tcW w:w="2160" w:type="dxa"/>
          </w:tcPr>
          <w:p w:rsidR="00012D2E" w:rsidRPr="00CE1430" w:rsidRDefault="00335934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283461,0</w:t>
            </w:r>
          </w:p>
        </w:tc>
        <w:tc>
          <w:tcPr>
            <w:tcW w:w="2242" w:type="dxa"/>
          </w:tcPr>
          <w:p w:rsidR="00012D2E" w:rsidRPr="00CE1430" w:rsidRDefault="00012D2E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62" w:type="dxa"/>
          </w:tcPr>
          <w:p w:rsidR="00012D2E" w:rsidRPr="00CE1430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012D2E" w:rsidRPr="00CE1430" w:rsidRDefault="00335934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675,7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+675,7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62" w:type="dxa"/>
          </w:tcPr>
          <w:p w:rsidR="00012D2E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012D2E" w:rsidRDefault="00335934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2917,4</w:t>
            </w:r>
          </w:p>
        </w:tc>
        <w:tc>
          <w:tcPr>
            <w:tcW w:w="2242" w:type="dxa"/>
          </w:tcPr>
          <w:p w:rsidR="00012D2E" w:rsidRPr="00CE1430" w:rsidRDefault="007A1776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+2917,4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012D2E" w:rsidRPr="00CE1430" w:rsidRDefault="00335934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-2969,5</w:t>
            </w:r>
          </w:p>
        </w:tc>
        <w:tc>
          <w:tcPr>
            <w:tcW w:w="2242" w:type="dxa"/>
          </w:tcPr>
          <w:p w:rsidR="00012D2E" w:rsidRPr="00CE1430" w:rsidRDefault="007B61F5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2969,5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62" w:type="dxa"/>
          </w:tcPr>
          <w:p w:rsidR="00012D2E" w:rsidRPr="00CE1430" w:rsidRDefault="007A1776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608623,5</w:t>
            </w:r>
          </w:p>
        </w:tc>
        <w:tc>
          <w:tcPr>
            <w:tcW w:w="2160" w:type="dxa"/>
          </w:tcPr>
          <w:p w:rsidR="00012D2E" w:rsidRPr="00CE1430" w:rsidRDefault="00335934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628104,1</w:t>
            </w:r>
          </w:p>
        </w:tc>
        <w:tc>
          <w:tcPr>
            <w:tcW w:w="2242" w:type="dxa"/>
          </w:tcPr>
          <w:p w:rsidR="00012D2E" w:rsidRPr="00CE1430" w:rsidRDefault="007A1776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+19480,6</w:t>
            </w:r>
          </w:p>
        </w:tc>
      </w:tr>
    </w:tbl>
    <w:p w:rsid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1776" w:rsidRPr="0005015A" w:rsidRDefault="007A177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нарушение п.2 ст. 31 Положения </w:t>
      </w:r>
      <w:r w:rsidR="0005015A" w:rsidRPr="0005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бюджетном процессе в Сортавальском муниципальном районе в составе документов и материалов не представлена Пояснительная записка о предлагаемых изменениях в решение о бюджете Сортавальского муниципального района на текущий финансовый год и плановый период</w:t>
      </w:r>
      <w:r w:rsid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2E0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безвозмездных поступлений 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 произойдет увеличение безвозмездных поступлений за счет: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объема дотации бюджету муниципального района на сумму 6207,0 тыс. руб.;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субсидий на общую сумму 8556,0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5A" w:rsidRPr="0005015A" w:rsidRDefault="0005015A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государственной программы Республики Карелия "Эффективное управление региональными </w:t>
      </w:r>
      <w:r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муниципальными финансами в Республике Карелия</w:t>
      </w:r>
      <w:r w:rsidRPr="0005015A">
        <w:rPr>
          <w:rFonts w:ascii="Arial" w:eastAsia="Times New Roman" w:hAnsi="Arial" w:cs="Arial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7A70">
        <w:rPr>
          <w:rFonts w:ascii="Arial" w:eastAsia="Times New Roman" w:hAnsi="Arial" w:cs="Arial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7A70"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506,0 тыс. руб.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A70" w:rsidRPr="009A7A70" w:rsidRDefault="009A7A7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на реализацию мероприятий государственной программы Республики Карелия "Развитие транспортной системы на 2014-2020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1930,0 тыс. руб.;</w:t>
      </w:r>
    </w:p>
    <w:p w:rsidR="009A7A70" w:rsidRPr="009A7A70" w:rsidRDefault="009A7A7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местным бюджетам на поддержку местных инициатив граждан проживающих в муниципальных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1780,0 тыс. руб.;</w:t>
      </w:r>
    </w:p>
    <w:p w:rsidR="009A7A70" w:rsidRPr="009A7A70" w:rsidRDefault="009A7A7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местным бюджетам на реализацию мероприятий государственной программы Республики Карелия "Совершенствование социальной защиты граждан"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952,0 тыс. руб.;</w:t>
      </w:r>
    </w:p>
    <w:p w:rsidR="009A7A70" w:rsidRPr="009A7A70" w:rsidRDefault="009A7A70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местным бюджетам на реализацию мероприятий государственной программы Республики Карелия "Развитие образования</w:t>
      </w:r>
      <w:r w:rsidRPr="009A7A70">
        <w:rPr>
          <w:rFonts w:ascii="Arial" w:eastAsia="Times New Roman" w:hAnsi="Arial" w:cs="Arial"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3388,0 тыс. руб.</w:t>
      </w:r>
    </w:p>
    <w:p w:rsidR="009A7A70" w:rsidRDefault="009A7A70" w:rsidP="009A7A70">
      <w:pPr>
        <w:widowControl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объем субвенции, передаваемый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района для реализации государственных полномочий на сумму 4094,0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A7A70" w:rsidRDefault="009A7A70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поступление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поселений на осуществление полномочий КСО поселений по внешнему муниципальному финансовому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675,7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F5292" w:rsidRDefault="00CF5292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поступления в доход бюджета муниципального района возврат остатков субсидий прошлых лет от организаций в сумме 2917,4 тыс. руб.;</w:t>
      </w:r>
    </w:p>
    <w:p w:rsidR="00CF5292" w:rsidRDefault="00CF5292" w:rsidP="00CF5292">
      <w:pPr>
        <w:widowControl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вернуть в бюджет другого уровня остатки субсидий, субвенций и иных межбюджетных трансфертов, имеющих целевое значение в объеме 2969,5 тыс. руб.</w:t>
      </w:r>
    </w:p>
    <w:p w:rsidR="009A7A70" w:rsidRPr="009A7A70" w:rsidRDefault="009A7A70" w:rsidP="009A7A70">
      <w:pPr>
        <w:widowControl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644323,1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CE3D6E">
        <w:rPr>
          <w:rFonts w:ascii="Times New Roman" w:hAnsi="Times New Roman" w:cs="Times New Roman"/>
          <w:sz w:val="28"/>
          <w:szCs w:val="28"/>
        </w:rPr>
        <w:t>19480,6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8548CA" w:rsidRPr="001B0D62" w:rsidTr="00880CC8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E3D6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E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69546,0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</w:tcPr>
          <w:p w:rsidR="00BB316B" w:rsidRPr="001B0D62" w:rsidRDefault="0066189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72769,6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</w:tcPr>
          <w:p w:rsidR="00BB316B" w:rsidRPr="001B0D62" w:rsidRDefault="00584AC7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+3223,6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66189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584AC7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66189B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0" w:type="auto"/>
          </w:tcPr>
          <w:p w:rsidR="00BB316B" w:rsidRDefault="00BB316B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2210,9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BB316B" w:rsidRPr="001B0D62" w:rsidRDefault="0066189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4140,9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+1930,0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BB316B" w:rsidRPr="001B0D62" w:rsidRDefault="0066189B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1769,8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424603,9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</w:tcPr>
          <w:p w:rsidR="00BB316B" w:rsidRPr="001B0D62" w:rsidRDefault="0066189B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430437,4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+5833,5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29587,3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35064,8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</w:tcPr>
          <w:p w:rsidR="00BB316B" w:rsidRPr="001B0D62" w:rsidRDefault="00584AC7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+5477,5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46040,0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51776,0</w:t>
            </w:r>
          </w:p>
        </w:tc>
        <w:tc>
          <w:tcPr>
            <w:tcW w:w="0" w:type="auto"/>
          </w:tcPr>
          <w:p w:rsidR="00BB316B" w:rsidRDefault="00584AC7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</w:tcPr>
          <w:p w:rsidR="00BB316B" w:rsidRPr="001B0D62" w:rsidRDefault="00584AC7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+5736,0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26282,1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26282,1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663,8</w:t>
            </w:r>
          </w:p>
        </w:tc>
        <w:tc>
          <w:tcPr>
            <w:tcW w:w="0" w:type="auto"/>
          </w:tcPr>
          <w:p w:rsidR="00BB316B" w:rsidRDefault="00BB316B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</w:tcPr>
          <w:p w:rsidR="00BB316B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BB316B" w:rsidRPr="001B0D62" w:rsidRDefault="00584AC7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-4500,0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8148,1</w:t>
            </w:r>
          </w:p>
        </w:tc>
        <w:tc>
          <w:tcPr>
            <w:tcW w:w="0" w:type="auto"/>
          </w:tcPr>
          <w:p w:rsidR="00BB316B" w:rsidRDefault="00BB316B" w:rsidP="006618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61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B316B" w:rsidRPr="001B0D62" w:rsidRDefault="0066189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9928,1</w:t>
            </w:r>
          </w:p>
        </w:tc>
        <w:tc>
          <w:tcPr>
            <w:tcW w:w="0" w:type="auto"/>
          </w:tcPr>
          <w:p w:rsidR="00BB316B" w:rsidRDefault="00584AC7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+1780,0</w:t>
            </w:r>
            <w:r w:rsidR="00BB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624842,5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584AC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644323,1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993E30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8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19480,6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84AC7">
        <w:rPr>
          <w:rFonts w:ascii="Times New Roman" w:eastAsia="Times New Roman" w:hAnsi="Times New Roman" w:cs="Times New Roman"/>
          <w:sz w:val="28"/>
          <w:szCs w:val="28"/>
          <w:lang w:eastAsia="ru-RU"/>
        </w:rPr>
        <w:t>19480,6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93E30" w:rsidRDefault="00993E3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3223,6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сумму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5833,5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5477,5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 «Социальная политика» на сумму 5736,0 тыс. руб.;</w:t>
      </w:r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-1400 «Межбюджетные трансферты общего характера бюджету муниципального образования» на сумму 1780,0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C1" w:rsidRPr="00CC0D3B" w:rsidRDefault="00161DC1" w:rsidP="00066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proofErr w:type="gramEnd"/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4500,0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разделам:</w:t>
      </w:r>
    </w:p>
    <w:p w:rsidR="00161DC1" w:rsidRDefault="00161DC1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долга»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4500,0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66BF1" w:rsidRDefault="00066BF1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66,8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68,0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A5012" w:rsidRPr="005A545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нарушение п.2 ст. 31 Положения о бюджетном процессе в Сортавальском муниципальном районе в составе документов и материалов не представлена Пояснительная записка о предлагаемых изменениях в решение о бюджете Сортавальского муниципального района на текущий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A5012">
        <w:rPr>
          <w:rFonts w:ascii="Times New Roman" w:hAnsi="Times New Roman" w:cs="Times New Roman"/>
          <w:sz w:val="28"/>
          <w:szCs w:val="28"/>
        </w:rPr>
        <w:t>проведенно</w:t>
      </w:r>
      <w:r w:rsidR="00931609">
        <w:rPr>
          <w:rFonts w:ascii="Times New Roman" w:hAnsi="Times New Roman" w:cs="Times New Roman"/>
          <w:sz w:val="28"/>
          <w:szCs w:val="28"/>
        </w:rPr>
        <w:t>му</w:t>
      </w:r>
      <w:r w:rsidR="003A501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31609">
        <w:rPr>
          <w:rFonts w:ascii="Times New Roman" w:hAnsi="Times New Roman" w:cs="Times New Roman"/>
          <w:sz w:val="28"/>
          <w:szCs w:val="28"/>
        </w:rPr>
        <w:t>у</w:t>
      </w:r>
      <w:r w:rsidRPr="00283A6B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</w:t>
      </w:r>
      <w:r w:rsidR="00931609">
        <w:rPr>
          <w:rFonts w:ascii="Times New Roman" w:hAnsi="Times New Roman" w:cs="Times New Roman"/>
          <w:sz w:val="28"/>
          <w:szCs w:val="28"/>
        </w:rPr>
        <w:t>ов</w:t>
      </w:r>
      <w:r w:rsidR="00857C0F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поселени</w:t>
      </w:r>
      <w:r w:rsidR="00931609">
        <w:rPr>
          <w:rFonts w:ascii="Times New Roman" w:hAnsi="Times New Roman" w:cs="Times New Roman"/>
          <w:sz w:val="28"/>
          <w:szCs w:val="28"/>
        </w:rPr>
        <w:t>й</w:t>
      </w:r>
      <w:r w:rsidR="00EF7E82" w:rsidRPr="00283A6B"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>; исполнением расходов по переданным из бюджета Республики Карелия субсидиям</w:t>
      </w:r>
      <w:r w:rsidR="00857C0F">
        <w:rPr>
          <w:rFonts w:ascii="Times New Roman" w:hAnsi="Times New Roman" w:cs="Times New Roman"/>
          <w:sz w:val="28"/>
          <w:szCs w:val="28"/>
        </w:rPr>
        <w:t>.</w:t>
      </w:r>
    </w:p>
    <w:p w:rsidR="00931609" w:rsidRDefault="00931609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316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16219,0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не предлагается изменять. 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931609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931609">
        <w:rPr>
          <w:rFonts w:ascii="Times New Roman" w:hAnsi="Times New Roman" w:cs="Times New Roman"/>
          <w:sz w:val="28"/>
          <w:szCs w:val="28"/>
        </w:rPr>
        <w:t>14757,</w:t>
      </w:r>
      <w:r w:rsidR="00B83B9C" w:rsidRPr="00B83B9C">
        <w:rPr>
          <w:rFonts w:ascii="Times New Roman" w:hAnsi="Times New Roman" w:cs="Times New Roman"/>
          <w:sz w:val="28"/>
          <w:szCs w:val="28"/>
        </w:rPr>
        <w:t>0 тыс. руб. Проектом Решения предлагается изменить программу муниципальных внутренних заимствований районного бюджета на 201</w:t>
      </w:r>
      <w:r w:rsidR="005F52F1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5F52F1">
        <w:rPr>
          <w:rFonts w:ascii="Times New Roman" w:hAnsi="Times New Roman" w:cs="Times New Roman"/>
          <w:sz w:val="28"/>
          <w:szCs w:val="28"/>
        </w:rPr>
        <w:t>15000,0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F52F1">
        <w:rPr>
          <w:rFonts w:ascii="Times New Roman" w:hAnsi="Times New Roman" w:cs="Times New Roman"/>
          <w:sz w:val="28"/>
          <w:szCs w:val="28"/>
        </w:rPr>
        <w:t xml:space="preserve"> Также меняется программа муниципальных внутренних заимствований и на плановый период 2018 и</w:t>
      </w:r>
      <w:proofErr w:type="gramEnd"/>
      <w:r w:rsidR="005F52F1">
        <w:rPr>
          <w:rFonts w:ascii="Times New Roman" w:hAnsi="Times New Roman" w:cs="Times New Roman"/>
          <w:sz w:val="28"/>
          <w:szCs w:val="28"/>
        </w:rPr>
        <w:t xml:space="preserve"> 2019 годов. Итог муниципальных внутренних заимствований на 2018год составит 19190,0 тыс. руб. и уменьшится на 262,0 тыс. руб. На 2019 год итог муниципальных внутренних заимствований составит 16690,0 тыс. руб. и увеличится по сравнению с первоначальным бюджетом на 290,0 тыс. руб.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5F52F1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52F1">
        <w:rPr>
          <w:rFonts w:ascii="Times New Roman" w:hAnsi="Times New Roman" w:cs="Times New Roman"/>
          <w:sz w:val="28"/>
          <w:szCs w:val="28"/>
        </w:rPr>
        <w:t>169745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7B321F">
        <w:rPr>
          <w:rFonts w:ascii="Times New Roman" w:hAnsi="Times New Roman" w:cs="Times New Roman"/>
          <w:sz w:val="28"/>
          <w:szCs w:val="28"/>
        </w:rPr>
        <w:t>5243,0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7B321F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321F">
        <w:rPr>
          <w:rFonts w:ascii="Times New Roman" w:hAnsi="Times New Roman" w:cs="Times New Roman"/>
          <w:sz w:val="28"/>
          <w:szCs w:val="28"/>
        </w:rPr>
        <w:t xml:space="preserve">174988,0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7B321F" w:rsidRDefault="007B321F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2019 года и на 01 января 2020 года также предлагается изменить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 муниципального внутреннего долга Сортавальского муниципального района в валюте РФ. По состоянию на 01.01.2019 года он увеличиться на 4981,0 тыс. руб. и составит 189178,0 тыс. руб., а на 01.01.2020г. на 5271,0 тыс. руб. и составит 205868,0 тыс. руб.</w:t>
      </w:r>
    </w:p>
    <w:p w:rsidR="00BD1C76" w:rsidRDefault="007B321F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первоначальным решением о бюджете на 2017 год и плановый период 2018 и 2019 годов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в проекте не предлагается изменять. На 2017 год он остается в объеме 190000,0 тыс. руб.</w:t>
      </w:r>
      <w:proofErr w:type="gramStart"/>
      <w:r w:rsidR="00BD1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C76">
        <w:rPr>
          <w:rFonts w:ascii="Times New Roman" w:hAnsi="Times New Roman" w:cs="Times New Roman"/>
          <w:sz w:val="28"/>
          <w:szCs w:val="28"/>
        </w:rPr>
        <w:t xml:space="preserve"> на 2018 год – 200000,0 тыс. руб., на 2019 год – 220000,0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снизить предельный объем расходов на обслуживание муниципального долга на 2017 год на 4500,0 тыс. руб., на 2018 и 2019 годы предельный объем расходов на обслуживание муниципального долга предлагается оставить без изменений. </w:t>
      </w:r>
    </w:p>
    <w:p w:rsidR="007B321F" w:rsidRPr="008C526F" w:rsidRDefault="007B321F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D1C76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A6D">
        <w:rPr>
          <w:rFonts w:ascii="Times New Roman" w:hAnsi="Times New Roman" w:cs="Times New Roman"/>
          <w:sz w:val="28"/>
          <w:szCs w:val="28"/>
        </w:rPr>
        <w:t>7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9B6A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proofErr w:type="gramStart"/>
      <w:r w:rsidR="009B6A6D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9B6A6D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2154" w:type="dxa"/>
          </w:tcPr>
          <w:p w:rsidR="0075603C" w:rsidRDefault="009B6A6D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-50000,0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75603C" w:rsidRDefault="009B6A6D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</w:tcPr>
          <w:p w:rsidR="0075603C" w:rsidRDefault="009B6A6D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657545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4" w:type="dxa"/>
          </w:tcPr>
          <w:p w:rsidR="00657545" w:rsidRDefault="009B6A6D" w:rsidP="003B7D2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9B6A6D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-52243,0</w:t>
            </w:r>
          </w:p>
        </w:tc>
        <w:tc>
          <w:tcPr>
            <w:tcW w:w="2154" w:type="dxa"/>
          </w:tcPr>
          <w:p w:rsidR="00657545" w:rsidRDefault="009B6A6D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2154" w:type="dxa"/>
          </w:tcPr>
          <w:p w:rsidR="00657545" w:rsidRDefault="009B6A6D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+50243,0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54500,0</w:t>
            </w:r>
          </w:p>
        </w:tc>
        <w:tc>
          <w:tcPr>
            <w:tcW w:w="2154" w:type="dxa"/>
          </w:tcPr>
          <w:p w:rsidR="00657545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154" w:type="dxa"/>
          </w:tcPr>
          <w:p w:rsidR="00657545" w:rsidRDefault="003B7D29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106743,0</w:t>
            </w:r>
          </w:p>
        </w:tc>
        <w:tc>
          <w:tcPr>
            <w:tcW w:w="2154" w:type="dxa"/>
          </w:tcPr>
          <w:p w:rsidR="00657545" w:rsidRDefault="009B6A6D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</w:tcPr>
          <w:p w:rsidR="00657545" w:rsidRDefault="009B6A6D" w:rsidP="003B7D2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-39743,0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9B6A6D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14757,0</w:t>
            </w:r>
          </w:p>
        </w:tc>
        <w:tc>
          <w:tcPr>
            <w:tcW w:w="2154" w:type="dxa"/>
          </w:tcPr>
          <w:p w:rsidR="00176799" w:rsidRDefault="009B6A6D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2154" w:type="dxa"/>
          </w:tcPr>
          <w:p w:rsidR="00176799" w:rsidRDefault="003B7D29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121500,0</w:t>
            </w:r>
          </w:p>
        </w:tc>
        <w:tc>
          <w:tcPr>
            <w:tcW w:w="2154" w:type="dxa"/>
          </w:tcPr>
          <w:p w:rsidR="00176799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132000,0</w:t>
            </w:r>
          </w:p>
        </w:tc>
        <w:tc>
          <w:tcPr>
            <w:tcW w:w="2154" w:type="dxa"/>
          </w:tcPr>
          <w:p w:rsidR="00176799" w:rsidRDefault="00F0274E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  <w:r w:rsidR="003B7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9B6A6D" w:rsidP="009B6A6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106743,0</w:t>
            </w:r>
          </w:p>
        </w:tc>
        <w:tc>
          <w:tcPr>
            <w:tcW w:w="2154" w:type="dxa"/>
          </w:tcPr>
          <w:p w:rsidR="00D27BC6" w:rsidRDefault="009B6A6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2154" w:type="dxa"/>
          </w:tcPr>
          <w:p w:rsidR="00D27BC6" w:rsidRDefault="009B6A6D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+10257,0</w:t>
            </w:r>
          </w:p>
        </w:tc>
      </w:tr>
    </w:tbl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10500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увеличении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внутренних заимствований на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10257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9B6A6D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526F" w:rsidRPr="001B0D62" w:rsidRDefault="008C526F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50243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670CB" w:rsidRDefault="008670CB" w:rsidP="008670CB">
      <w:pPr>
        <w:pStyle w:val="a3"/>
        <w:widowControl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Таб.5 </w:t>
      </w:r>
    </w:p>
    <w:p w:rsidR="008670CB" w:rsidRPr="008C526F" w:rsidRDefault="008670CB" w:rsidP="008670CB">
      <w:pPr>
        <w:pStyle w:val="a3"/>
        <w:widowControl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8670CB" w:rsidTr="00DA1077">
        <w:trPr>
          <w:trHeight w:val="265"/>
        </w:trPr>
        <w:tc>
          <w:tcPr>
            <w:tcW w:w="2982" w:type="dxa"/>
            <w:vMerge w:val="restart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8670CB" w:rsidRPr="002003A6" w:rsidRDefault="008670CB" w:rsidP="008670C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8670CB" w:rsidTr="00DA1077">
        <w:trPr>
          <w:trHeight w:val="168"/>
        </w:trPr>
        <w:tc>
          <w:tcPr>
            <w:tcW w:w="2982" w:type="dxa"/>
            <w:vMerge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-18048,0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-43810,0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-25762,0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18048,0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+25762,0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+25500,0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14452,0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78548,0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80810,0</w:t>
            </w:r>
          </w:p>
        </w:tc>
        <w:tc>
          <w:tcPr>
            <w:tcW w:w="2154" w:type="dxa"/>
          </w:tcPr>
          <w:p w:rsidR="008670CB" w:rsidRDefault="008670CB" w:rsidP="008670C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+2262,0</w:t>
            </w:r>
          </w:p>
        </w:tc>
      </w:tr>
    </w:tbl>
    <w:p w:rsidR="008670CB" w:rsidRDefault="008670CB" w:rsidP="008670C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2000,0 тыс. руб. и увеличении объема погашения муниципальных внутренних заимствований на 2262,0 тыс. руб. произошло снижение общего объема муниципальных внутренних заимствований на 262,0 тыс. руб., в том числе за счет:</w:t>
      </w:r>
    </w:p>
    <w:p w:rsidR="008670CB" w:rsidRPr="0034214C" w:rsidRDefault="0034214C" w:rsidP="003421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670CB"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заимствований в виде бюджетных кредитов от других бюджетов бюджетной системы РФ в размере 25762,0 тыс. руб.</w:t>
      </w:r>
      <w:proofErr w:type="gramStart"/>
      <w:r w:rsidR="008670CB"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670CB" w:rsidRPr="0034214C" w:rsidRDefault="0034214C" w:rsidP="003421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670CB"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объема заимствований в виде кредитов, полученных от кредитных организаций в валюте РФ, в размере 25500,0 тыс. руб.</w:t>
      </w:r>
    </w:p>
    <w:p w:rsidR="008670CB" w:rsidRDefault="008670CB" w:rsidP="008670CB">
      <w:pPr>
        <w:pStyle w:val="a3"/>
        <w:widowControl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Таб.6 </w:t>
      </w:r>
    </w:p>
    <w:p w:rsidR="008670CB" w:rsidRPr="008C526F" w:rsidRDefault="008670CB" w:rsidP="008670CB">
      <w:pPr>
        <w:pStyle w:val="a3"/>
        <w:widowControl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8670CB" w:rsidTr="00DA1077">
        <w:trPr>
          <w:trHeight w:val="265"/>
        </w:trPr>
        <w:tc>
          <w:tcPr>
            <w:tcW w:w="2982" w:type="dxa"/>
            <w:vMerge w:val="restart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8670CB" w:rsidRPr="002003A6" w:rsidRDefault="008670CB" w:rsidP="008670C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670CB" w:rsidTr="00DA1077">
        <w:trPr>
          <w:trHeight w:val="168"/>
        </w:trPr>
        <w:tc>
          <w:tcPr>
            <w:tcW w:w="2982" w:type="dxa"/>
            <w:vMerge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Pr="002003A6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18500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 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+71500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16400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привлечение средств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8670CB" w:rsidTr="00DA1077">
        <w:trPr>
          <w:trHeight w:val="265"/>
        </w:trPr>
        <w:tc>
          <w:tcPr>
            <w:tcW w:w="2982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8670CB" w:rsidRDefault="00DA1077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  <w:r w:rsidR="0086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54" w:type="dxa"/>
          </w:tcPr>
          <w:p w:rsidR="008670CB" w:rsidRDefault="008670CB" w:rsidP="00DA107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A1077" w:rsidRDefault="00DA1077" w:rsidP="00DA107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98000,0 тыс. руб. и увеличении объема погашения муниципальных внутренних заимствований на 71500,0 тыс. руб. произошло увеличение общего объема муниципальных внутренних заимствований на 290,0 тыс. руб., в том числе за счет:</w:t>
      </w:r>
    </w:p>
    <w:p w:rsidR="00DA1077" w:rsidRPr="0034214C" w:rsidRDefault="0034214C" w:rsidP="0034214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1077"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заимствований в виде бюджетных кредитов от других бюджетов бюджетной системы РФ в размере 26210,0 тыс. руб.</w:t>
      </w:r>
      <w:proofErr w:type="gramStart"/>
      <w:r w:rsidR="00DA1077"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526F" w:rsidRDefault="0034214C" w:rsidP="00DA107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A1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заимствований в виде кредитов, полученных от кредитных организаций в валюте РФ, в размере 26500,0 тыс. руб.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463559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29677,2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реализацию</w:t>
      </w:r>
      <w:proofErr w:type="gramEnd"/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уменьшив её по подпрограмме «Управление муниципальным долгом» на 4500,0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увеличив бюджетные ассигнования на реализацию подпрограммы «Организация бюджетного процесса» на 1501,0 тыс. руб. Общий объем муниципальной программы снизился по сравнению с первоначальным бюджетом на 2999,0 тыс. руб. </w:t>
      </w:r>
    </w:p>
    <w:p w:rsidR="00B455E7" w:rsidRPr="0032282F" w:rsidRDefault="00463559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Контрольно-счетный комитет обращает внимание, что не представлены финансово-экономические обоснования по увеличению планируемых бюджетных ассигнований на реализацию подпрограммы «Организация бюджетного процесса». В нарушение ст.184.2 БК РФ на экспертизу не представлен проект изменения в паспорт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28B" w:rsidRDefault="00DA328B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Default="00316CFA" w:rsidP="00DA3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E1084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DA328B">
        <w:rPr>
          <w:rFonts w:ascii="Times New Roman" w:hAnsi="Times New Roman" w:cs="Times New Roman"/>
          <w:sz w:val="28"/>
          <w:szCs w:val="28"/>
        </w:rPr>
        <w:t xml:space="preserve">приложение 2 «Перечень главных администраторов доходов бюджета Сортавальского муниципального района, </w:t>
      </w:r>
      <w:r w:rsidR="00DA328B" w:rsidRPr="00240220">
        <w:rPr>
          <w:rFonts w:ascii="Times New Roman" w:hAnsi="Times New Roman" w:cs="Times New Roman"/>
          <w:sz w:val="28"/>
          <w:szCs w:val="28"/>
          <w:u w:val="single"/>
        </w:rPr>
        <w:t>закрепляемых за ними</w:t>
      </w:r>
      <w:r w:rsidR="00DA328B">
        <w:rPr>
          <w:rFonts w:ascii="Times New Roman" w:hAnsi="Times New Roman" w:cs="Times New Roman"/>
          <w:sz w:val="28"/>
          <w:szCs w:val="28"/>
        </w:rPr>
        <w:t xml:space="preserve"> видо</w:t>
      </w:r>
      <w:proofErr w:type="gramStart"/>
      <w:r w:rsidR="00DA328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A328B">
        <w:rPr>
          <w:rFonts w:ascii="Times New Roman" w:hAnsi="Times New Roman" w:cs="Times New Roman"/>
          <w:sz w:val="28"/>
          <w:szCs w:val="28"/>
        </w:rPr>
        <w:t xml:space="preserve"> </w:t>
      </w:r>
      <w:r w:rsidR="00DA328B">
        <w:rPr>
          <w:rFonts w:ascii="Times New Roman" w:hAnsi="Times New Roman" w:cs="Times New Roman"/>
          <w:sz w:val="28"/>
          <w:szCs w:val="28"/>
        </w:rPr>
        <w:lastRenderedPageBreak/>
        <w:t>подвидов) доходов бюджета Сортавальского муниципального района</w:t>
      </w:r>
      <w:r w:rsidR="0024022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годов» изложить в редакции приложения1 к проекту Решения. </w:t>
      </w:r>
    </w:p>
    <w:p w:rsidR="00240220" w:rsidRPr="0032282F" w:rsidRDefault="00240220" w:rsidP="00DA3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анализе приложения 1 к проекту Решения установлено, что в нарушение п.3 ст. 184.1 БК РФ в данном приложении  имеются коды доходов бюджета не закрепленные за главными администраторами доходов бюджета района.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220" w:rsidRPr="00664E5F" w:rsidRDefault="00240220" w:rsidP="00240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</w:t>
      </w:r>
      <w:proofErr w:type="gramStart"/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наименование кодов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65н.:</w:t>
      </w:r>
    </w:p>
    <w:tbl>
      <w:tblPr>
        <w:tblStyle w:val="a4"/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977"/>
        <w:gridCol w:w="3402"/>
      </w:tblGrid>
      <w:tr w:rsidR="00240220" w:rsidRPr="00845CCE" w:rsidTr="00091561">
        <w:trPr>
          <w:cantSplit/>
          <w:trHeight w:val="1493"/>
        </w:trPr>
        <w:tc>
          <w:tcPr>
            <w:tcW w:w="851" w:type="dxa"/>
          </w:tcPr>
          <w:p w:rsidR="00240220" w:rsidRPr="00845CCE" w:rsidRDefault="00240220" w:rsidP="0009156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40220" w:rsidRPr="00845CCE" w:rsidRDefault="00240220" w:rsidP="0009156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пункта</w:t>
            </w:r>
          </w:p>
          <w:p w:rsidR="00240220" w:rsidRPr="00845CCE" w:rsidRDefault="00240220" w:rsidP="0009156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240220" w:rsidRPr="00845CCE" w:rsidRDefault="00240220" w:rsidP="0009156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КБК, </w:t>
            </w:r>
            <w:proofErr w:type="gramStart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указанный</w:t>
            </w:r>
            <w:proofErr w:type="gramEnd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в Приложении № 2 к решению Совета Сортавальского муниципального района</w:t>
            </w:r>
          </w:p>
        </w:tc>
        <w:tc>
          <w:tcPr>
            <w:tcW w:w="2977" w:type="dxa"/>
          </w:tcPr>
          <w:p w:rsidR="00240220" w:rsidRPr="00845CCE" w:rsidRDefault="00240220" w:rsidP="00091561">
            <w:pPr>
              <w:jc w:val="center"/>
              <w:rPr>
                <w:rFonts w:ascii="Times New Roman" w:hAnsi="Times New Roman"/>
                <w:b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Наименование, указанное в Приложении № 2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решению Совета Сортавальского муниципального района</w:t>
            </w:r>
          </w:p>
        </w:tc>
        <w:tc>
          <w:tcPr>
            <w:tcW w:w="3402" w:type="dxa"/>
          </w:tcPr>
          <w:p w:rsidR="00240220" w:rsidRPr="00845CCE" w:rsidRDefault="00240220" w:rsidP="0009156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CC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в соответствии с</w:t>
            </w:r>
            <w:r w:rsidRPr="00845CCE">
              <w:rPr>
                <w:rFonts w:ascii="Times New Roman" w:hAnsi="Times New Roman" w:cs="Times New Roman"/>
                <w:sz w:val="22"/>
                <w:szCs w:val="22"/>
              </w:rPr>
              <w:t xml:space="preserve"> Приказом Минфина России от 1 июля 2013 г. N 65н "Об утверждении Указаний о порядке применения бюджетной классификации Российской Федерации"</w:t>
            </w:r>
          </w:p>
        </w:tc>
      </w:tr>
      <w:tr w:rsidR="00240220" w:rsidRPr="00543F21" w:rsidTr="00091561">
        <w:tc>
          <w:tcPr>
            <w:tcW w:w="851" w:type="dxa"/>
          </w:tcPr>
          <w:p w:rsidR="00240220" w:rsidRPr="00543F21" w:rsidRDefault="00240220" w:rsidP="000915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F21"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2410" w:type="dxa"/>
          </w:tcPr>
          <w:p w:rsidR="00240220" w:rsidRPr="00543F21" w:rsidRDefault="00240220" w:rsidP="00091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3F21">
              <w:rPr>
                <w:rFonts w:ascii="Times New Roman" w:hAnsi="Times New Roman"/>
              </w:rPr>
              <w:t xml:space="preserve">1 11 05013 </w:t>
            </w:r>
            <w:r w:rsidRPr="00543F21">
              <w:rPr>
                <w:rFonts w:ascii="Times New Roman" w:hAnsi="Times New Roman"/>
                <w:b/>
              </w:rPr>
              <w:t>10</w:t>
            </w:r>
            <w:r w:rsidRPr="00543F21">
              <w:rPr>
                <w:rFonts w:ascii="Times New Roman" w:hAnsi="Times New Roman"/>
              </w:rPr>
              <w:t xml:space="preserve"> 0000 120</w:t>
            </w:r>
          </w:p>
          <w:p w:rsidR="00240220" w:rsidRPr="00CD0076" w:rsidRDefault="00240220" w:rsidP="000915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0220" w:rsidRPr="00543F21" w:rsidRDefault="00240220" w:rsidP="00091561">
            <w:pPr>
              <w:ind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43F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городских поселений</w:t>
            </w:r>
            <w:r w:rsidRPr="00543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240220" w:rsidRPr="00543F21" w:rsidRDefault="00240220" w:rsidP="00091561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F21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43F21">
              <w:rPr>
                <w:rFonts w:ascii="Times New Roman" w:hAnsi="Times New Roman"/>
                <w:b/>
                <w:sz w:val="20"/>
                <w:szCs w:val="20"/>
              </w:rPr>
              <w:t>сельских поселений</w:t>
            </w:r>
            <w:r w:rsidRPr="00543F21">
              <w:rPr>
                <w:rFonts w:ascii="Times New Roman" w:hAnsi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  <w:p w:rsidR="00240220" w:rsidRPr="00543F21" w:rsidRDefault="00240220" w:rsidP="00091561">
            <w:pPr>
              <w:ind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220" w:rsidRPr="00543F21" w:rsidTr="00091561">
        <w:tc>
          <w:tcPr>
            <w:tcW w:w="851" w:type="dxa"/>
          </w:tcPr>
          <w:p w:rsidR="00240220" w:rsidRPr="00543F21" w:rsidRDefault="00240220" w:rsidP="000915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3F21">
              <w:rPr>
                <w:rFonts w:ascii="Times New Roman" w:eastAsia="Times New Roman" w:hAnsi="Times New Roman"/>
                <w:lang w:eastAsia="ru-RU"/>
              </w:rPr>
              <w:t>5.8</w:t>
            </w:r>
          </w:p>
        </w:tc>
        <w:tc>
          <w:tcPr>
            <w:tcW w:w="2410" w:type="dxa"/>
          </w:tcPr>
          <w:p w:rsidR="00240220" w:rsidRPr="00543F21" w:rsidRDefault="00240220" w:rsidP="00091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43F21">
              <w:rPr>
                <w:rFonts w:ascii="Times New Roman" w:hAnsi="Times New Roman"/>
              </w:rPr>
              <w:t xml:space="preserve">1 11 05013 </w:t>
            </w:r>
            <w:r w:rsidRPr="00543F21">
              <w:rPr>
                <w:rFonts w:ascii="Times New Roman" w:hAnsi="Times New Roman"/>
                <w:b/>
              </w:rPr>
              <w:t>10</w:t>
            </w:r>
            <w:r w:rsidRPr="00543F21">
              <w:rPr>
                <w:rFonts w:ascii="Times New Roman" w:hAnsi="Times New Roman"/>
              </w:rPr>
              <w:t xml:space="preserve"> 0000 120</w:t>
            </w:r>
          </w:p>
          <w:p w:rsidR="00240220" w:rsidRPr="00CD0076" w:rsidRDefault="00240220" w:rsidP="000915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40220" w:rsidRPr="00543F21" w:rsidRDefault="00240220" w:rsidP="00091561">
            <w:pPr>
              <w:ind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43F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городских поселений</w:t>
            </w:r>
            <w:r w:rsidRPr="00543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240220" w:rsidRPr="00543F21" w:rsidRDefault="00240220" w:rsidP="00091561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F21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43F21">
              <w:rPr>
                <w:rFonts w:ascii="Times New Roman" w:hAnsi="Times New Roman"/>
                <w:b/>
                <w:sz w:val="20"/>
                <w:szCs w:val="20"/>
              </w:rPr>
              <w:t>сельских поселений</w:t>
            </w:r>
            <w:r w:rsidRPr="00543F21">
              <w:rPr>
                <w:rFonts w:ascii="Times New Roman" w:hAnsi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  <w:p w:rsidR="00240220" w:rsidRPr="00543F21" w:rsidRDefault="00240220" w:rsidP="00091561">
            <w:pPr>
              <w:ind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40220" w:rsidRDefault="00240220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муниципального района из бюджетов других уровней</w:t>
      </w:r>
      <w:r w:rsidR="004C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="004C7F2E" w:rsidRPr="00283A6B">
        <w:rPr>
          <w:rFonts w:ascii="Times New Roman" w:hAnsi="Times New Roman" w:cs="Times New Roman"/>
          <w:sz w:val="28"/>
          <w:szCs w:val="28"/>
        </w:rPr>
        <w:t>увеличение</w:t>
      </w:r>
      <w:r w:rsidR="004C7F2E">
        <w:rPr>
          <w:rFonts w:ascii="Times New Roman" w:hAnsi="Times New Roman" w:cs="Times New Roman"/>
          <w:sz w:val="28"/>
          <w:szCs w:val="28"/>
        </w:rPr>
        <w:t>м</w:t>
      </w:r>
      <w:r w:rsidR="004C7F2E" w:rsidRPr="00283A6B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4C7F2E">
        <w:rPr>
          <w:rFonts w:ascii="Times New Roman" w:hAnsi="Times New Roman" w:cs="Times New Roman"/>
          <w:sz w:val="28"/>
          <w:szCs w:val="28"/>
        </w:rPr>
        <w:t>на</w:t>
      </w:r>
      <w:r w:rsidR="004C7F2E" w:rsidRPr="00283A6B">
        <w:rPr>
          <w:rFonts w:ascii="Times New Roman" w:hAnsi="Times New Roman" w:cs="Times New Roman"/>
          <w:sz w:val="28"/>
          <w:szCs w:val="28"/>
        </w:rPr>
        <w:t xml:space="preserve"> исполнение районного бюджета по межбюджетным трансфертам, полученным из бюджета Республики Карелия и бюджет</w:t>
      </w:r>
      <w:r w:rsidR="004C7F2E">
        <w:rPr>
          <w:rFonts w:ascii="Times New Roman" w:hAnsi="Times New Roman" w:cs="Times New Roman"/>
          <w:sz w:val="28"/>
          <w:szCs w:val="28"/>
        </w:rPr>
        <w:t xml:space="preserve">ов </w:t>
      </w:r>
      <w:r w:rsidR="004C7F2E" w:rsidRPr="00283A6B">
        <w:rPr>
          <w:rFonts w:ascii="Times New Roman" w:hAnsi="Times New Roman" w:cs="Times New Roman"/>
          <w:sz w:val="28"/>
          <w:szCs w:val="28"/>
        </w:rPr>
        <w:t>поселени</w:t>
      </w:r>
      <w:r w:rsidR="004C7F2E">
        <w:rPr>
          <w:rFonts w:ascii="Times New Roman" w:hAnsi="Times New Roman" w:cs="Times New Roman"/>
          <w:sz w:val="28"/>
          <w:szCs w:val="28"/>
        </w:rPr>
        <w:t>й</w:t>
      </w:r>
      <w:r w:rsidR="004C7F2E" w:rsidRPr="00283A6B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заключенными Соглашениями; исполнением расходов </w:t>
      </w:r>
      <w:r w:rsidR="004C7F2E" w:rsidRPr="00283A6B">
        <w:rPr>
          <w:rFonts w:ascii="Times New Roman" w:hAnsi="Times New Roman" w:cs="Times New Roman"/>
          <w:sz w:val="28"/>
          <w:szCs w:val="28"/>
        </w:rPr>
        <w:lastRenderedPageBreak/>
        <w:t>по переданным из бюджета Республики Карелия субсидиям</w:t>
      </w:r>
      <w:r w:rsidR="004C7F2E">
        <w:rPr>
          <w:rFonts w:ascii="Times New Roman" w:hAnsi="Times New Roman" w:cs="Times New Roman"/>
          <w:sz w:val="28"/>
          <w:szCs w:val="28"/>
        </w:rPr>
        <w:t>.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F2E" w:rsidRPr="005A5452" w:rsidRDefault="004C7F2E" w:rsidP="004C7F2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нарушение п.2 ст. 31 Положения о бюджетном процессе в Сортавальском муниципальном районе в составе документов и материалов не представлена Пояснительная записка о предлагаемых изменениях в решение о бюджете Сортавальского муниципального района на текущий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F2E" w:rsidRPr="00DE4C11" w:rsidRDefault="004C7F2E" w:rsidP="004C7F2E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240220">
        <w:rPr>
          <w:rFonts w:ascii="Times New Roman" w:hAnsi="Times New Roman" w:cs="Times New Roman"/>
          <w:sz w:val="28"/>
          <w:szCs w:val="28"/>
        </w:rPr>
        <w:t>7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4C7F2E">
        <w:rPr>
          <w:rFonts w:ascii="Times New Roman" w:eastAsia="Times New Roman" w:hAnsi="Times New Roman"/>
          <w:sz w:val="28"/>
          <w:szCs w:val="28"/>
          <w:lang w:eastAsia="ru-RU"/>
        </w:rPr>
        <w:t>19480,6</w:t>
      </w:r>
      <w:r w:rsidR="005F1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C56EA6" w:rsidRPr="00D942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, расходы  бюджета </w:t>
      </w:r>
      <w:r w:rsidR="004C7F2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C7F2E">
        <w:rPr>
          <w:rFonts w:ascii="Times New Roman" w:hAnsi="Times New Roman" w:cs="Times New Roman"/>
          <w:sz w:val="28"/>
          <w:szCs w:val="28"/>
        </w:rPr>
        <w:t>19480,6</w:t>
      </w:r>
      <w:r w:rsidR="005F1544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руб., дефицит бюджета </w:t>
      </w:r>
      <w:r w:rsidR="004C7F2E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C56EA6" w:rsidRPr="00D942EE">
        <w:rPr>
          <w:rFonts w:ascii="Times New Roman" w:hAnsi="Times New Roman" w:cs="Times New Roman"/>
          <w:sz w:val="28"/>
          <w:szCs w:val="28"/>
        </w:rPr>
        <w:t>;</w:t>
      </w:r>
    </w:p>
    <w:p w:rsidR="004C7F2E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3018 и 2019 годов основные характеристики бюджета района остаются без изменений;</w:t>
      </w:r>
    </w:p>
    <w:p w:rsidR="0034214C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проектом Решения предлагается изменить </w:t>
      </w:r>
      <w:r w:rsidRPr="004C7F2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муниципального района</w:t>
      </w:r>
      <w:r w:rsidRPr="004C7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валюте РФ. По состоянию на 01.01.2018 года он увеличится на 5243,0 тыс. руб.; по состоянию на 01.01.2019г.</w:t>
      </w:r>
      <w:r w:rsidR="0034214C">
        <w:rPr>
          <w:rFonts w:ascii="Times New Roman" w:hAnsi="Times New Roman" w:cs="Times New Roman"/>
          <w:sz w:val="28"/>
          <w:szCs w:val="28"/>
        </w:rPr>
        <w:t xml:space="preserve"> увеличение составит 4981,0 тыс. руб., на 01.01.2020г.  увеличение на 5271,0 тыс. руб. </w:t>
      </w:r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4C" w:rsidRPr="001B0D62" w:rsidRDefault="0034214C" w:rsidP="0034214C">
      <w:pPr>
        <w:pStyle w:val="a3"/>
        <w:widowControl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утвержденных Решением о бюджете на 10500,0 тыс. руб. и увеличении объема погашения муниципальных внутренних заимствований на 10257,0 тыс. руб. произошло увеличение общего объема муниципальных внутренних заимствований на 243,0 тыс. руб.,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объема заимствований в виде бюджетных кредитов от других бюджетов бюджетной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РФ в размере 50000,0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объема заимствований в виде кредитов, полученных от кредитных организаций в валюте РФ, в размере 50243,0 тыс. руб.</w:t>
      </w:r>
    </w:p>
    <w:p w:rsidR="0034214C" w:rsidRDefault="0034214C" w:rsidP="0034214C">
      <w:pPr>
        <w:pStyle w:val="a3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 на 2000,0 тыс. руб. и увеличении объема погашения муниципальных внутренних заимствований на 2262,0 тыс. руб. произошло снижение общего объема муниципальных внутренних заимствований на 262,0 тыс. руб.,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объема заимствований в виде бюджетных кредитов от других бюджетов бюджетной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25762,0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объема заимствований в виде кредитов, полученных от кредитных организаций в валюте РФ, в размере 25500,0 тыс. руб.</w:t>
      </w:r>
    </w:p>
    <w:p w:rsidR="0034214C" w:rsidRDefault="0034214C" w:rsidP="0034214C">
      <w:pPr>
        <w:pStyle w:val="a3"/>
        <w:widowControl w:val="0"/>
        <w:spacing w:after="0" w:line="240" w:lineRule="auto"/>
        <w:ind w:left="709" w:firstLine="425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утвержденных Решением о бюджете на 98000,0 тыс. руб. и увеличении объема погашения муниципальных внутренних заимствований на 71500,0 тыс. руб. произошло увеличение общего объема муниципальных внутренних заимствований на 290,0 тыс. руб.,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объема заимствований в виде бюджетных кредитов от других бюджетов бюджетной</w:t>
      </w:r>
      <w:proofErr w:type="gramEnd"/>
      <w:r w:rsidRPr="003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РФ в размере 26210,0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объема заимствований в виде кредитов, полученных от кредитных организаций в валюте РФ, в размере 26500,0 тыс. руб.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Default="0015458E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 w:rsidR="00E83A68">
        <w:rPr>
          <w:rFonts w:ascii="Times New Roman" w:hAnsi="Times New Roman" w:cs="Times New Roman"/>
          <w:sz w:val="28"/>
          <w:szCs w:val="28"/>
        </w:rPr>
        <w:t>66,8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E83A68">
        <w:rPr>
          <w:rFonts w:ascii="Times New Roman" w:hAnsi="Times New Roman" w:cs="Times New Roman"/>
          <w:sz w:val="28"/>
          <w:szCs w:val="28"/>
        </w:rPr>
        <w:t>11,3</w:t>
      </w:r>
      <w:r w:rsidR="00CF7D5A" w:rsidRPr="00D942EE">
        <w:rPr>
          <w:rFonts w:ascii="Times New Roman" w:hAnsi="Times New Roman" w:cs="Times New Roman"/>
          <w:sz w:val="28"/>
          <w:szCs w:val="28"/>
        </w:rPr>
        <w:t>%), социальную политику (</w:t>
      </w:r>
      <w:r w:rsidR="00E83A68">
        <w:rPr>
          <w:rFonts w:ascii="Times New Roman" w:hAnsi="Times New Roman" w:cs="Times New Roman"/>
          <w:sz w:val="28"/>
          <w:szCs w:val="28"/>
        </w:rPr>
        <w:t>8,0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 w:rsidR="00E83A68">
        <w:rPr>
          <w:rFonts w:ascii="Times New Roman" w:hAnsi="Times New Roman" w:cs="Times New Roman"/>
          <w:sz w:val="28"/>
          <w:szCs w:val="28"/>
        </w:rPr>
        <w:t>5,4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E83A68" w:rsidRPr="00D942EE" w:rsidRDefault="00E83A68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Контрольно-счетный комитет обращает внимание, что не представлены финансово-экономические обоснования по увеличению планируемых бюджетных ассигнований на реализацию подпрограммы «Организация бюджетного процесса». В нарушение ст.184.2 БК РФ на экспертизу не представлен проект изменения в паспорт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83A68" w:rsidRDefault="009E632C" w:rsidP="00E83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A68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установлено, что </w:t>
      </w:r>
      <w:r w:rsidR="00E83A68">
        <w:rPr>
          <w:rFonts w:ascii="Times New Roman" w:hAnsi="Times New Roman" w:cs="Times New Roman"/>
          <w:sz w:val="28"/>
          <w:szCs w:val="28"/>
        </w:rPr>
        <w:t xml:space="preserve">в нарушение п.3 ст. 184.1 БК РФ в приложении </w:t>
      </w:r>
      <w:r w:rsidR="00E83A68">
        <w:rPr>
          <w:rFonts w:ascii="Times New Roman" w:hAnsi="Times New Roman" w:cs="Times New Roman"/>
          <w:sz w:val="28"/>
          <w:szCs w:val="28"/>
        </w:rPr>
        <w:t>1 к проекту Решения</w:t>
      </w:r>
      <w:r w:rsidR="00E83A68">
        <w:rPr>
          <w:rFonts w:ascii="Times New Roman" w:hAnsi="Times New Roman" w:cs="Times New Roman"/>
          <w:sz w:val="28"/>
          <w:szCs w:val="28"/>
        </w:rPr>
        <w:t xml:space="preserve"> имеются коды доходов бюджета не закрепленные за главными администраторами доходов бюджета района.</w:t>
      </w:r>
    </w:p>
    <w:p w:rsidR="00E83A68" w:rsidRPr="0032282F" w:rsidRDefault="00E83A68" w:rsidP="00E83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 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наименование кодов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65н.:</w:t>
      </w:r>
      <w:proofErr w:type="gramEnd"/>
    </w:p>
    <w:p w:rsidR="009E632C" w:rsidRPr="00E83A68" w:rsidRDefault="009E632C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A68">
        <w:rPr>
          <w:rFonts w:ascii="Times New Roman" w:hAnsi="Times New Roman" w:cs="Times New Roman"/>
          <w:sz w:val="28"/>
          <w:szCs w:val="28"/>
        </w:rPr>
        <w:t>При предоставлении на экспертизу проекта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E83A68">
        <w:rPr>
          <w:rFonts w:ascii="Times New Roman" w:hAnsi="Times New Roman" w:cs="Times New Roman"/>
          <w:sz w:val="28"/>
          <w:szCs w:val="28"/>
        </w:rPr>
        <w:t>1</w:t>
      </w:r>
      <w:r w:rsidRPr="00E83A68">
        <w:rPr>
          <w:rFonts w:ascii="Times New Roman" w:hAnsi="Times New Roman" w:cs="Times New Roman"/>
          <w:sz w:val="28"/>
          <w:szCs w:val="28"/>
        </w:rPr>
        <w:t>.12.201</w:t>
      </w:r>
      <w:r w:rsidR="00E83A68">
        <w:rPr>
          <w:rFonts w:ascii="Times New Roman" w:hAnsi="Times New Roman" w:cs="Times New Roman"/>
          <w:sz w:val="28"/>
          <w:szCs w:val="28"/>
        </w:rPr>
        <w:t>6</w:t>
      </w:r>
      <w:r w:rsidRPr="00E83A68">
        <w:rPr>
          <w:rFonts w:ascii="Times New Roman" w:hAnsi="Times New Roman" w:cs="Times New Roman"/>
          <w:sz w:val="28"/>
          <w:szCs w:val="28"/>
        </w:rPr>
        <w:t>г. №</w:t>
      </w:r>
      <w:r w:rsidR="00E83A68">
        <w:rPr>
          <w:rFonts w:ascii="Times New Roman" w:hAnsi="Times New Roman" w:cs="Times New Roman"/>
          <w:sz w:val="28"/>
          <w:szCs w:val="28"/>
        </w:rPr>
        <w:t>23</w:t>
      </w:r>
      <w:r w:rsidRPr="00E83A68">
        <w:rPr>
          <w:rFonts w:ascii="Times New Roman" w:hAnsi="Times New Roman" w:cs="Times New Roman"/>
          <w:sz w:val="28"/>
          <w:szCs w:val="28"/>
        </w:rPr>
        <w:t>9 «О бюджете Сортавальского муниципального района на 201</w:t>
      </w:r>
      <w:r w:rsidR="00E83A68">
        <w:rPr>
          <w:rFonts w:ascii="Times New Roman" w:hAnsi="Times New Roman" w:cs="Times New Roman"/>
          <w:sz w:val="28"/>
          <w:szCs w:val="28"/>
        </w:rPr>
        <w:t>7</w:t>
      </w:r>
      <w:r w:rsidRPr="00E83A68">
        <w:rPr>
          <w:rFonts w:ascii="Times New Roman" w:hAnsi="Times New Roman" w:cs="Times New Roman"/>
          <w:sz w:val="28"/>
          <w:szCs w:val="28"/>
        </w:rPr>
        <w:t xml:space="preserve"> год</w:t>
      </w:r>
      <w:r w:rsidR="00E83A6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E83A68">
        <w:rPr>
          <w:rFonts w:ascii="Times New Roman" w:hAnsi="Times New Roman" w:cs="Times New Roman"/>
          <w:sz w:val="28"/>
          <w:szCs w:val="28"/>
        </w:rPr>
        <w:t xml:space="preserve">»  нарушен п.3 </w:t>
      </w:r>
      <w:r w:rsidRPr="00E83A68">
        <w:rPr>
          <w:rFonts w:ascii="Times New Roman" w:hAnsi="Times New Roman" w:cs="Times New Roman"/>
          <w:sz w:val="28"/>
          <w:szCs w:val="28"/>
        </w:rPr>
        <w:lastRenderedPageBreak/>
        <w:t>ст.31 Положения о бюджетном процессе в Сортавальском  муниципальном районе</w:t>
      </w:r>
      <w:proofErr w:type="gramEnd"/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E632C" w:rsidRPr="00FD138A" w:rsidRDefault="00D942EE" w:rsidP="00FD1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E83A68"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№239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E83A68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A8556E" w:rsidRPr="009E632C">
        <w:rPr>
          <w:rFonts w:ascii="Times New Roman" w:hAnsi="Times New Roman"/>
          <w:sz w:val="28"/>
          <w:szCs w:val="28"/>
        </w:rPr>
        <w:t xml:space="preserve">» </w:t>
      </w:r>
      <w:r w:rsidR="00E83A68">
        <w:rPr>
          <w:rFonts w:ascii="Times New Roman" w:hAnsi="Times New Roman"/>
          <w:sz w:val="28"/>
          <w:szCs w:val="28"/>
        </w:rPr>
        <w:t>с учетом корректировки Приложения №1 и №2 к проекту Решения</w:t>
      </w:r>
      <w:r w:rsidR="009E632C">
        <w:rPr>
          <w:rFonts w:ascii="Times New Roman" w:hAnsi="Times New Roman"/>
          <w:sz w:val="28"/>
          <w:szCs w:val="28"/>
        </w:rPr>
        <w:t>;</w:t>
      </w:r>
    </w:p>
    <w:p w:rsidR="00FD138A" w:rsidRDefault="00971741" w:rsidP="004D5E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8A">
        <w:rPr>
          <w:rFonts w:ascii="Times New Roman" w:hAnsi="Times New Roman" w:cs="Times New Roman"/>
          <w:sz w:val="28"/>
          <w:szCs w:val="28"/>
        </w:rPr>
        <w:t>рекомендовать Администрации Сортавальского муниципального района при предоставлении на экспертизу проекта решения Совета Сортавальского муниципального района о внесении изменений и дополнений в решение о бюджете Сортавальского муниципального района соблюдать сроки, установленные п.3 ст.31 Положения о бюджетном процессе в Сортавальском муниципальном районе</w:t>
      </w:r>
      <w:r w:rsidR="00FD138A" w:rsidRPr="00FD138A">
        <w:rPr>
          <w:rFonts w:ascii="Times New Roman" w:hAnsi="Times New Roman" w:cs="Times New Roman"/>
          <w:sz w:val="28"/>
          <w:szCs w:val="28"/>
        </w:rPr>
        <w:t>,</w:t>
      </w:r>
      <w:r w:rsidR="00FD138A">
        <w:rPr>
          <w:rFonts w:ascii="Times New Roman" w:hAnsi="Times New Roman" w:cs="Times New Roman"/>
          <w:sz w:val="28"/>
          <w:szCs w:val="28"/>
        </w:rPr>
        <w:t xml:space="preserve"> а также соблюдать требования, установленные п. 2 ст. 31 Положения о бюджетном процессе по составу документов и материалов</w:t>
      </w:r>
      <w:proofErr w:type="gramEnd"/>
      <w:r w:rsidR="00FD138A">
        <w:rPr>
          <w:rFonts w:ascii="Times New Roman" w:hAnsi="Times New Roman" w:cs="Times New Roman"/>
          <w:sz w:val="28"/>
          <w:szCs w:val="28"/>
        </w:rPr>
        <w:t xml:space="preserve">, предоставляемых одновременно </w:t>
      </w:r>
      <w:proofErr w:type="gramStart"/>
      <w:r w:rsidR="00FD138A">
        <w:rPr>
          <w:rFonts w:ascii="Times New Roman" w:hAnsi="Times New Roman" w:cs="Times New Roman"/>
          <w:sz w:val="28"/>
          <w:szCs w:val="28"/>
        </w:rPr>
        <w:t>с проектом решения о внесении изменений в решение о бюджете района на текущий год</w:t>
      </w:r>
      <w:proofErr w:type="gramEnd"/>
      <w:r w:rsidR="00FD138A">
        <w:rPr>
          <w:rFonts w:ascii="Times New Roman" w:hAnsi="Times New Roman" w:cs="Times New Roman"/>
          <w:sz w:val="28"/>
          <w:szCs w:val="28"/>
        </w:rPr>
        <w:t xml:space="preserve"> и плановый период. </w:t>
      </w:r>
    </w:p>
    <w:p w:rsidR="00FD138A" w:rsidRDefault="00FD138A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80" w:rsidRDefault="00D33980" w:rsidP="004821A1">
      <w:pPr>
        <w:spacing w:after="0" w:line="240" w:lineRule="auto"/>
      </w:pPr>
      <w:r>
        <w:separator/>
      </w:r>
    </w:p>
  </w:endnote>
  <w:endnote w:type="continuationSeparator" w:id="0">
    <w:p w:rsidR="00D33980" w:rsidRDefault="00D33980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80" w:rsidRDefault="00D33980" w:rsidP="004821A1">
      <w:pPr>
        <w:spacing w:after="0" w:line="240" w:lineRule="auto"/>
      </w:pPr>
      <w:r>
        <w:separator/>
      </w:r>
    </w:p>
  </w:footnote>
  <w:footnote w:type="continuationSeparator" w:id="0">
    <w:p w:rsidR="00D33980" w:rsidRDefault="00D33980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DA1077" w:rsidRDefault="00DA10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4F">
          <w:rPr>
            <w:noProof/>
          </w:rPr>
          <w:t>14</w:t>
        </w:r>
        <w:r>
          <w:fldChar w:fldCharType="end"/>
        </w:r>
      </w:p>
    </w:sdtContent>
  </w:sdt>
  <w:p w:rsidR="00DA1077" w:rsidRDefault="00DA10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34F02"/>
    <w:rsid w:val="000356CC"/>
    <w:rsid w:val="000460C3"/>
    <w:rsid w:val="0005015A"/>
    <w:rsid w:val="0006075A"/>
    <w:rsid w:val="00066BF1"/>
    <w:rsid w:val="00090401"/>
    <w:rsid w:val="000A1359"/>
    <w:rsid w:val="000A1B0A"/>
    <w:rsid w:val="000A1DA1"/>
    <w:rsid w:val="000A6973"/>
    <w:rsid w:val="000B7EB7"/>
    <w:rsid w:val="000C7808"/>
    <w:rsid w:val="000E407C"/>
    <w:rsid w:val="00107327"/>
    <w:rsid w:val="001121DB"/>
    <w:rsid w:val="00114876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2003A6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80F48"/>
    <w:rsid w:val="00283A6B"/>
    <w:rsid w:val="00285C31"/>
    <w:rsid w:val="00292449"/>
    <w:rsid w:val="00293637"/>
    <w:rsid w:val="002A7B61"/>
    <w:rsid w:val="002B7351"/>
    <w:rsid w:val="002D1D0D"/>
    <w:rsid w:val="002E608D"/>
    <w:rsid w:val="002F476D"/>
    <w:rsid w:val="00303028"/>
    <w:rsid w:val="00307CEC"/>
    <w:rsid w:val="00316CFA"/>
    <w:rsid w:val="0032282F"/>
    <w:rsid w:val="00333DB0"/>
    <w:rsid w:val="00335934"/>
    <w:rsid w:val="0034214C"/>
    <w:rsid w:val="0035685D"/>
    <w:rsid w:val="00362F2D"/>
    <w:rsid w:val="00382838"/>
    <w:rsid w:val="00392616"/>
    <w:rsid w:val="003A453C"/>
    <w:rsid w:val="003A5012"/>
    <w:rsid w:val="003A5CE6"/>
    <w:rsid w:val="003A6C80"/>
    <w:rsid w:val="003B7D29"/>
    <w:rsid w:val="0040367C"/>
    <w:rsid w:val="00403CF0"/>
    <w:rsid w:val="0042367B"/>
    <w:rsid w:val="00432069"/>
    <w:rsid w:val="00443276"/>
    <w:rsid w:val="00447DD6"/>
    <w:rsid w:val="004623E4"/>
    <w:rsid w:val="00463559"/>
    <w:rsid w:val="004821A1"/>
    <w:rsid w:val="00483102"/>
    <w:rsid w:val="00495C2A"/>
    <w:rsid w:val="00497DA8"/>
    <w:rsid w:val="004B229C"/>
    <w:rsid w:val="004B2718"/>
    <w:rsid w:val="004B50EF"/>
    <w:rsid w:val="004C6A81"/>
    <w:rsid w:val="004C7F2E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65B33"/>
    <w:rsid w:val="00584AC7"/>
    <w:rsid w:val="005904B5"/>
    <w:rsid w:val="005A5452"/>
    <w:rsid w:val="005B3DFB"/>
    <w:rsid w:val="005F1544"/>
    <w:rsid w:val="005F1B1C"/>
    <w:rsid w:val="005F52F1"/>
    <w:rsid w:val="005F7B0C"/>
    <w:rsid w:val="006057FF"/>
    <w:rsid w:val="00614248"/>
    <w:rsid w:val="006278E9"/>
    <w:rsid w:val="0064234B"/>
    <w:rsid w:val="006556C4"/>
    <w:rsid w:val="00657545"/>
    <w:rsid w:val="00657D28"/>
    <w:rsid w:val="0066189B"/>
    <w:rsid w:val="006A1EE8"/>
    <w:rsid w:val="006C4A96"/>
    <w:rsid w:val="006D39DB"/>
    <w:rsid w:val="006E0AE7"/>
    <w:rsid w:val="006F35D2"/>
    <w:rsid w:val="006F448D"/>
    <w:rsid w:val="00704168"/>
    <w:rsid w:val="00727BC3"/>
    <w:rsid w:val="00754987"/>
    <w:rsid w:val="0075603C"/>
    <w:rsid w:val="00777F4B"/>
    <w:rsid w:val="00785F5B"/>
    <w:rsid w:val="007A1776"/>
    <w:rsid w:val="007A4987"/>
    <w:rsid w:val="007B321F"/>
    <w:rsid w:val="007B61F5"/>
    <w:rsid w:val="007C76E2"/>
    <w:rsid w:val="007D4ECA"/>
    <w:rsid w:val="007D5F92"/>
    <w:rsid w:val="008029E5"/>
    <w:rsid w:val="008316F8"/>
    <w:rsid w:val="00841F49"/>
    <w:rsid w:val="00847E88"/>
    <w:rsid w:val="008548CA"/>
    <w:rsid w:val="00857C0F"/>
    <w:rsid w:val="008670CB"/>
    <w:rsid w:val="00880CC8"/>
    <w:rsid w:val="00892942"/>
    <w:rsid w:val="008A19BA"/>
    <w:rsid w:val="008C526F"/>
    <w:rsid w:val="00904130"/>
    <w:rsid w:val="00917079"/>
    <w:rsid w:val="00931609"/>
    <w:rsid w:val="009343A0"/>
    <w:rsid w:val="0094008D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6DD2"/>
    <w:rsid w:val="009F73EB"/>
    <w:rsid w:val="00A14928"/>
    <w:rsid w:val="00A174B2"/>
    <w:rsid w:val="00A53A22"/>
    <w:rsid w:val="00A55C19"/>
    <w:rsid w:val="00A61C17"/>
    <w:rsid w:val="00A77CA4"/>
    <w:rsid w:val="00A8556E"/>
    <w:rsid w:val="00AA30D8"/>
    <w:rsid w:val="00AC2DA6"/>
    <w:rsid w:val="00AD16BF"/>
    <w:rsid w:val="00AE63D2"/>
    <w:rsid w:val="00AF28A7"/>
    <w:rsid w:val="00B15C34"/>
    <w:rsid w:val="00B455E7"/>
    <w:rsid w:val="00B66863"/>
    <w:rsid w:val="00B83151"/>
    <w:rsid w:val="00B83B9C"/>
    <w:rsid w:val="00B92F5D"/>
    <w:rsid w:val="00B95E3A"/>
    <w:rsid w:val="00BB316B"/>
    <w:rsid w:val="00BB51FF"/>
    <w:rsid w:val="00BD1C76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60749"/>
    <w:rsid w:val="00C802B6"/>
    <w:rsid w:val="00C80C7A"/>
    <w:rsid w:val="00C8705A"/>
    <w:rsid w:val="00C937E3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F1D"/>
    <w:rsid w:val="00CF7D5A"/>
    <w:rsid w:val="00D04A4B"/>
    <w:rsid w:val="00D27BC6"/>
    <w:rsid w:val="00D30611"/>
    <w:rsid w:val="00D33980"/>
    <w:rsid w:val="00D471B8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C3809"/>
    <w:rsid w:val="00DE4C11"/>
    <w:rsid w:val="00E065C1"/>
    <w:rsid w:val="00E10843"/>
    <w:rsid w:val="00E30C19"/>
    <w:rsid w:val="00E33BB3"/>
    <w:rsid w:val="00E50E5D"/>
    <w:rsid w:val="00E628B3"/>
    <w:rsid w:val="00E655B1"/>
    <w:rsid w:val="00E658AD"/>
    <w:rsid w:val="00E755B2"/>
    <w:rsid w:val="00E83A68"/>
    <w:rsid w:val="00E876EB"/>
    <w:rsid w:val="00E93FF8"/>
    <w:rsid w:val="00EA2F1A"/>
    <w:rsid w:val="00EB0327"/>
    <w:rsid w:val="00EF5A02"/>
    <w:rsid w:val="00EF7E82"/>
    <w:rsid w:val="00F0274E"/>
    <w:rsid w:val="00F02853"/>
    <w:rsid w:val="00F15A4F"/>
    <w:rsid w:val="00F20CC3"/>
    <w:rsid w:val="00F26534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E52B-B8CA-445D-9E60-7F2C562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14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38</cp:revision>
  <cp:lastPrinted>2016-12-19T13:34:00Z</cp:lastPrinted>
  <dcterms:created xsi:type="dcterms:W3CDTF">2015-01-27T08:16:00Z</dcterms:created>
  <dcterms:modified xsi:type="dcterms:W3CDTF">2017-03-01T15:42:00Z</dcterms:modified>
</cp:coreProperties>
</file>