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731E72" w:rsidP="0083298C">
      <w:pPr>
        <w:pStyle w:val="4"/>
        <w:tabs>
          <w:tab w:val="left" w:pos="6521"/>
        </w:tabs>
        <w:spacing w:before="0" w:line="240" w:lineRule="auto"/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52285355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83298C" w:rsidRPr="0083298C" w:rsidRDefault="0083298C" w:rsidP="0083298C">
      <w:pPr>
        <w:spacing w:after="0" w:line="240" w:lineRule="auto"/>
      </w:pPr>
    </w:p>
    <w:p w:rsidR="004821A1" w:rsidRDefault="004821A1" w:rsidP="00832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83298C" w:rsidRPr="008746AD" w:rsidRDefault="0083298C" w:rsidP="00832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21A1" w:rsidRPr="008746AD" w:rsidRDefault="004821A1" w:rsidP="008329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42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r w:rsidR="0019292E">
        <w:rPr>
          <w:rFonts w:ascii="Times New Roman" w:hAnsi="Times New Roman" w:cs="Times New Roman"/>
          <w:b/>
          <w:sz w:val="28"/>
          <w:szCs w:val="28"/>
        </w:rPr>
        <w:t>Хелюльского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731980" w:rsidRPr="00731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12F">
        <w:rPr>
          <w:rFonts w:ascii="Times New Roman" w:hAnsi="Times New Roman" w:cs="Times New Roman"/>
          <w:b/>
          <w:sz w:val="28"/>
          <w:szCs w:val="28"/>
        </w:rPr>
        <w:t>ХХХ</w:t>
      </w:r>
      <w:r w:rsidR="008D61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612F" w:rsidRPr="008D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8D61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D612F" w:rsidRPr="008D6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80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4D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решение 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№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95</w:t>
      </w:r>
      <w:r w:rsidR="00596373" w:rsidRPr="00E64D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от 2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2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.12.201</w:t>
      </w:r>
      <w:r w:rsidR="008D612F" w:rsidRPr="00E64D12">
        <w:rPr>
          <w:rFonts w:ascii="Times New Roman" w:hAnsi="Times New Roman" w:cs="Times New Roman"/>
          <w:b/>
          <w:sz w:val="28"/>
          <w:szCs w:val="28"/>
        </w:rPr>
        <w:t>6</w:t>
      </w:r>
      <w:r w:rsidR="00D92791" w:rsidRPr="00E64D12">
        <w:rPr>
          <w:rFonts w:ascii="Times New Roman" w:hAnsi="Times New Roman" w:cs="Times New Roman"/>
          <w:b/>
          <w:sz w:val="28"/>
          <w:szCs w:val="28"/>
        </w:rPr>
        <w:t>г.</w:t>
      </w:r>
      <w:r w:rsidRPr="00E64D1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4D12" w:rsidRPr="00E64D12">
        <w:rPr>
          <w:rFonts w:ascii="Times New Roman" w:hAnsi="Times New Roman" w:cs="Times New Roman"/>
          <w:b/>
          <w:sz w:val="28"/>
          <w:szCs w:val="28"/>
        </w:rPr>
        <w:t>О бюджете Хелюльского городского поселения на 2017 год и плановый период 2018-2019 годов»</w:t>
      </w:r>
    </w:p>
    <w:p w:rsidR="00F308CA" w:rsidRPr="00E64D12" w:rsidRDefault="00F308CA" w:rsidP="00427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FB" w:rsidRDefault="00871370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C68A4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7241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A7B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0D3FC2">
        <w:rPr>
          <w:rFonts w:ascii="Times New Roman" w:hAnsi="Times New Roman" w:cs="Times New Roman"/>
          <w:b/>
          <w:sz w:val="28"/>
          <w:szCs w:val="28"/>
        </w:rPr>
        <w:t>12</w:t>
      </w:r>
    </w:p>
    <w:p w:rsidR="0083298C" w:rsidRDefault="0083298C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Pr="00731980" w:rsidRDefault="005B3DFB" w:rsidP="0021593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r w:rsidR="00885D5C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85D5C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EB0ECC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201</w:t>
      </w:r>
      <w:r w:rsidR="00885D5C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r w:rsidR="003B7E63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 w:rsidR="003B7E63"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r w:rsidR="003B7E63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B7E63" w:rsidRPr="003B7E63">
        <w:rPr>
          <w:rFonts w:ascii="Times New Roman" w:hAnsi="Times New Roman" w:cs="Times New Roman"/>
          <w:sz w:val="28"/>
          <w:szCs w:val="28"/>
        </w:rPr>
        <w:t>ХХХ</w:t>
      </w:r>
      <w:r w:rsidR="003B7E63" w:rsidRPr="003B7E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B7E63" w:rsidRPr="003B7E63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B7E63" w:rsidRPr="003B7E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B7E63" w:rsidRPr="003B7E63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</w:t>
      </w:r>
      <w:r w:rsidR="00E64D12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годов.</w:t>
      </w:r>
    </w:p>
    <w:p w:rsidR="00183CAA" w:rsidRPr="00731980" w:rsidRDefault="00183CAA" w:rsidP="0021593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766272" w:rsidRPr="00766272">
        <w:rPr>
          <w:rFonts w:ascii="Times New Roman" w:hAnsi="Times New Roman" w:cs="Times New Roman"/>
          <w:sz w:val="28"/>
          <w:szCs w:val="28"/>
        </w:rPr>
        <w:t>проект Решения Совета Хелюльского городского поселения ХХХ</w:t>
      </w:r>
      <w:r w:rsidR="00766272"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6272"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66272"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66272" w:rsidRPr="00766272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 в решение №95 от 22.12.2016г. </w:t>
      </w:r>
      <w:r w:rsidR="00E64D12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Pr="00731980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r w:rsidR="00336BC8" w:rsidRPr="00766272">
        <w:rPr>
          <w:rFonts w:ascii="Times New Roman" w:hAnsi="Times New Roman" w:cs="Times New Roman"/>
          <w:sz w:val="28"/>
          <w:szCs w:val="28"/>
        </w:rPr>
        <w:t>Хелюльского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351451" w:rsidP="002159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66272">
        <w:rPr>
          <w:rFonts w:ascii="Times New Roman" w:hAnsi="Times New Roman" w:cs="Times New Roman"/>
          <w:sz w:val="28"/>
          <w:szCs w:val="28"/>
        </w:rPr>
        <w:t>роект Решения Совета Хелюльского городского поселения ХХХ</w:t>
      </w:r>
      <w:r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66272">
        <w:rPr>
          <w:rFonts w:ascii="Times New Roman" w:hAnsi="Times New Roman" w:cs="Times New Roman"/>
          <w:sz w:val="28"/>
          <w:szCs w:val="28"/>
        </w:rPr>
        <w:t xml:space="preserve"> созыва «О внесении изменений и дополнений</w:t>
      </w:r>
      <w:r w:rsidR="00215A59">
        <w:rPr>
          <w:rFonts w:ascii="Times New Roman" w:hAnsi="Times New Roman" w:cs="Times New Roman"/>
          <w:sz w:val="28"/>
          <w:szCs w:val="28"/>
        </w:rPr>
        <w:t xml:space="preserve"> в решение №95 от 22.12.2016г. </w:t>
      </w:r>
      <w:r w:rsidR="001058B0" w:rsidRPr="00766272">
        <w:rPr>
          <w:rFonts w:ascii="Times New Roman" w:hAnsi="Times New Roman" w:cs="Times New Roman"/>
          <w:sz w:val="28"/>
          <w:szCs w:val="28"/>
        </w:rPr>
        <w:t>«О бюджете Хелюльского городского поселения на 201</w:t>
      </w:r>
      <w:r w:rsidR="001058B0">
        <w:rPr>
          <w:rFonts w:ascii="Times New Roman" w:hAnsi="Times New Roman" w:cs="Times New Roman"/>
          <w:sz w:val="28"/>
          <w:szCs w:val="28"/>
        </w:rPr>
        <w:t>7</w:t>
      </w:r>
      <w:r w:rsidR="001058B0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1058B0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183CAA" w:rsidRPr="00183CAA">
        <w:rPr>
          <w:rFonts w:ascii="Times New Roman" w:hAnsi="Times New Roman" w:cs="Times New Roman"/>
          <w:sz w:val="28"/>
          <w:szCs w:val="28"/>
        </w:rPr>
        <w:t>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3B6427">
        <w:rPr>
          <w:rFonts w:ascii="Times New Roman" w:hAnsi="Times New Roman" w:cs="Times New Roman"/>
          <w:sz w:val="28"/>
          <w:szCs w:val="28"/>
        </w:rPr>
        <w:t>6</w:t>
      </w:r>
      <w:r w:rsidR="00DB7F49">
        <w:rPr>
          <w:rFonts w:ascii="Times New Roman" w:hAnsi="Times New Roman" w:cs="Times New Roman"/>
          <w:sz w:val="28"/>
          <w:szCs w:val="28"/>
        </w:rPr>
        <w:t>;9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D412E8">
        <w:rPr>
          <w:rFonts w:ascii="Times New Roman" w:hAnsi="Times New Roman" w:cs="Times New Roman"/>
          <w:sz w:val="28"/>
          <w:szCs w:val="28"/>
        </w:rPr>
        <w:t>2</w:t>
      </w:r>
      <w:r w:rsidR="00215A59">
        <w:rPr>
          <w:rFonts w:ascii="Times New Roman" w:hAnsi="Times New Roman" w:cs="Times New Roman"/>
          <w:sz w:val="28"/>
          <w:szCs w:val="28"/>
        </w:rPr>
        <w:t>8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54621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695D1F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Default="00BB1336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</w:t>
      </w:r>
      <w:r w:rsidR="00A736E5">
        <w:rPr>
          <w:rFonts w:ascii="Times New Roman" w:hAnsi="Times New Roman" w:cs="Times New Roman"/>
          <w:sz w:val="28"/>
          <w:szCs w:val="28"/>
        </w:rPr>
        <w:t>и</w:t>
      </w:r>
      <w:r w:rsidRPr="00731980">
        <w:rPr>
          <w:rFonts w:ascii="Times New Roman" w:hAnsi="Times New Roman" w:cs="Times New Roman"/>
          <w:sz w:val="28"/>
          <w:szCs w:val="28"/>
        </w:rPr>
        <w:t>ть основные характеристики бюджета муниципального образования</w:t>
      </w:r>
      <w:r w:rsidR="008F1C9D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</w:t>
      </w:r>
      <w:r w:rsidR="008508BF">
        <w:rPr>
          <w:rFonts w:ascii="Times New Roman" w:hAnsi="Times New Roman" w:cs="Times New Roman"/>
          <w:sz w:val="28"/>
          <w:szCs w:val="28"/>
        </w:rPr>
        <w:t>Хе</w:t>
      </w:r>
      <w:r w:rsidR="008F1C9D">
        <w:rPr>
          <w:rFonts w:ascii="Times New Roman" w:hAnsi="Times New Roman" w:cs="Times New Roman"/>
          <w:sz w:val="28"/>
          <w:szCs w:val="28"/>
        </w:rPr>
        <w:t>люльского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C9D" w:rsidRPr="00766272">
        <w:rPr>
          <w:rFonts w:ascii="Times New Roman" w:hAnsi="Times New Roman" w:cs="Times New Roman"/>
          <w:sz w:val="28"/>
          <w:szCs w:val="28"/>
        </w:rPr>
        <w:t>ХХХ</w:t>
      </w:r>
      <w:r w:rsidR="008F1C9D" w:rsidRPr="007662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1C9D" w:rsidRPr="00766272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8F1C9D" w:rsidRPr="007662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F1C9D" w:rsidRPr="00766272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DA30F9" w:rsidRPr="00DA30F9">
        <w:rPr>
          <w:rFonts w:ascii="Times New Roman" w:hAnsi="Times New Roman" w:cs="Times New Roman"/>
          <w:sz w:val="28"/>
          <w:szCs w:val="28"/>
        </w:rPr>
        <w:t>№95 от 22.12.2016г.</w:t>
      </w:r>
      <w:r w:rsidR="00DA30F9" w:rsidRPr="00DA30F9">
        <w:rPr>
          <w:rFonts w:ascii="Times New Roman" w:hAnsi="Times New Roman" w:cs="Times New Roman"/>
          <w:sz w:val="28"/>
          <w:szCs w:val="28"/>
        </w:rPr>
        <w:t xml:space="preserve"> </w:t>
      </w:r>
      <w:r w:rsidR="008F1C9D" w:rsidRPr="00DA30F9">
        <w:rPr>
          <w:rFonts w:ascii="Times New Roman" w:hAnsi="Times New Roman" w:cs="Times New Roman"/>
          <w:sz w:val="28"/>
          <w:szCs w:val="28"/>
        </w:rPr>
        <w:t>«</w:t>
      </w:r>
      <w:r w:rsidR="00E64D12" w:rsidRPr="00DA30F9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E64D12" w:rsidRPr="00DA30F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64D12" w:rsidRPr="00DA30F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="00EC29B7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(далее-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 ст. 184.1 БК РФ, относятся общий объем доходов, общий объем расходов и дефицит бюджета.</w:t>
      </w:r>
    </w:p>
    <w:p w:rsidR="00A736E5" w:rsidRPr="00FF7DBB" w:rsidRDefault="00A736E5" w:rsidP="00215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8F1C9D">
        <w:rPr>
          <w:rFonts w:ascii="Times New Roman" w:hAnsi="Times New Roman" w:cs="Times New Roman"/>
          <w:sz w:val="28"/>
          <w:szCs w:val="28"/>
        </w:rPr>
        <w:t>7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E5421" w:rsidRPr="00E916E6" w:rsidRDefault="00A736E5" w:rsidP="00EE54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Pr="00E916E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A30F9" w:rsidRPr="00E916E6">
        <w:rPr>
          <w:rFonts w:ascii="Times New Roman" w:eastAsia="Times New Roman" w:hAnsi="Times New Roman"/>
          <w:sz w:val="28"/>
          <w:szCs w:val="28"/>
          <w:lang w:eastAsia="ru-RU"/>
        </w:rPr>
        <w:t>2 131,0 (в т. ч. ранее внесенными изменениями – 1 123,1 тыс. руб.)</w:t>
      </w:r>
      <w:r w:rsidR="00EE5421" w:rsidRPr="00E916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A30F9" w:rsidRPr="00E9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5421" w:rsidRPr="00E916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поселения, его доходная часть увеличится на 1 007,9 тыс. руб. </w:t>
      </w:r>
    </w:p>
    <w:p w:rsidR="00137BB5" w:rsidRPr="00E916E6" w:rsidRDefault="00862D89" w:rsidP="00EE54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6E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A736E5" w:rsidRPr="00E916E6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A736E5" w:rsidRPr="00E916E6">
        <w:rPr>
          <w:rFonts w:ascii="Times New Roman" w:hAnsi="Times New Roman" w:cs="Times New Roman"/>
          <w:sz w:val="28"/>
          <w:szCs w:val="28"/>
        </w:rPr>
        <w:t xml:space="preserve"> </w:t>
      </w:r>
      <w:r w:rsidR="00EE5421" w:rsidRPr="00E916E6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EE5421" w:rsidRPr="00E916E6">
        <w:rPr>
          <w:rFonts w:ascii="Times New Roman" w:hAnsi="Times New Roman" w:cs="Times New Roman"/>
          <w:sz w:val="28"/>
          <w:szCs w:val="28"/>
        </w:rPr>
        <w:t xml:space="preserve"> </w:t>
      </w:r>
      <w:r w:rsidR="00EE5421" w:rsidRPr="00E916E6">
        <w:rPr>
          <w:rFonts w:ascii="Times New Roman" w:hAnsi="Times New Roman" w:cs="Times New Roman"/>
          <w:sz w:val="28"/>
          <w:szCs w:val="28"/>
        </w:rPr>
        <w:t>увеличиваются</w:t>
      </w:r>
      <w:r w:rsidR="00137BB5" w:rsidRPr="00E916E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2 120,9 тыс. рублей </w:t>
      </w:r>
      <w:r w:rsidR="00EE5421" w:rsidRPr="00E916E6">
        <w:rPr>
          <w:rFonts w:ascii="Times New Roman" w:eastAsia="Times New Roman" w:hAnsi="Times New Roman"/>
          <w:sz w:val="28"/>
          <w:szCs w:val="28"/>
          <w:lang w:eastAsia="ru-RU"/>
        </w:rPr>
        <w:t xml:space="preserve">(в т. ч. ранее внесенными изменениями – </w:t>
      </w:r>
      <w:r w:rsidR="00144BD0">
        <w:rPr>
          <w:rFonts w:ascii="Times New Roman" w:hAnsi="Times New Roman" w:cs="Times New Roman"/>
          <w:sz w:val="28"/>
          <w:szCs w:val="28"/>
        </w:rPr>
        <w:t xml:space="preserve">1 113,0 </w:t>
      </w:r>
      <w:r w:rsidR="00EE5421" w:rsidRPr="00E916E6">
        <w:rPr>
          <w:rFonts w:ascii="Times New Roman" w:eastAsia="Times New Roman" w:hAnsi="Times New Roman"/>
          <w:sz w:val="28"/>
          <w:szCs w:val="28"/>
          <w:lang w:eastAsia="ru-RU"/>
        </w:rPr>
        <w:t>тыс. руб.).</w:t>
      </w:r>
      <w:r w:rsidR="00137BB5" w:rsidRPr="00E916E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уточненным бюджетом поселения, его расходная часть увеличится на 1 007,9 тыс. руб. </w:t>
      </w:r>
    </w:p>
    <w:p w:rsidR="007C1AA1" w:rsidRPr="00483102" w:rsidRDefault="00A736E5" w:rsidP="0021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3453D4">
        <w:rPr>
          <w:rFonts w:ascii="Times New Roman" w:hAnsi="Times New Roman" w:cs="Times New Roman"/>
          <w:sz w:val="28"/>
          <w:szCs w:val="28"/>
        </w:rPr>
        <w:t>не изменяется</w:t>
      </w:r>
      <w:r w:rsidR="00AC7FA7">
        <w:rPr>
          <w:rFonts w:ascii="Times New Roman" w:hAnsi="Times New Roman" w:cs="Times New Roman"/>
          <w:sz w:val="28"/>
          <w:szCs w:val="28"/>
        </w:rPr>
        <w:t>.</w:t>
      </w:r>
    </w:p>
    <w:p w:rsidR="0006471D" w:rsidRPr="00873170" w:rsidRDefault="00A736E5" w:rsidP="002159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D51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 w:rsidR="0006471D" w:rsidRPr="005D5185">
        <w:rPr>
          <w:rFonts w:ascii="Times New Roman" w:hAnsi="Times New Roman" w:cs="Times New Roman"/>
          <w:b/>
          <w:sz w:val="28"/>
          <w:szCs w:val="28"/>
          <w:u w:val="single"/>
        </w:rPr>
        <w:t>Хелюльского</w:t>
      </w:r>
      <w:r w:rsidRPr="005D51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3758" w:rsidRPr="00873170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</w:t>
      </w:r>
      <w:r w:rsidRPr="008731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471D" w:rsidRPr="00873170">
        <w:rPr>
          <w:rFonts w:ascii="Times New Roman" w:hAnsi="Times New Roman" w:cs="Times New Roman"/>
          <w:sz w:val="28"/>
          <w:szCs w:val="28"/>
        </w:rPr>
        <w:t>в представленном проекте остается без изменений.</w:t>
      </w:r>
    </w:p>
    <w:p w:rsidR="00EB0ECC" w:rsidRPr="00873170" w:rsidRDefault="00EB0ECC" w:rsidP="0021593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2018г. и 2019г. по сравнению с утвержденным бюджетом в представленном проекте Решения не изменил</w:t>
      </w:r>
      <w:r w:rsidR="00802282" w:rsidRPr="008731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сь. </w:t>
      </w:r>
    </w:p>
    <w:p w:rsidR="0083298C" w:rsidRDefault="0083298C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3DEB" w:rsidRPr="00873170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A13DEB" w:rsidRPr="00873170" w:rsidRDefault="00A13DEB" w:rsidP="002159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326F" w:rsidRDefault="00A13DEB" w:rsidP="003832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внесенным в бюджет поселения, доходная часть на 201</w:t>
      </w:r>
      <w:r w:rsidR="009401B9"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>год увелич</w:t>
      </w:r>
      <w:r w:rsidR="00EB0ECC" w:rsidRPr="00873170">
        <w:rPr>
          <w:rFonts w:ascii="Times New Roman" w:eastAsia="Times New Roman" w:hAnsi="Times New Roman"/>
          <w:sz w:val="28"/>
          <w:szCs w:val="28"/>
          <w:lang w:eastAsia="ru-RU"/>
        </w:rPr>
        <w:t>ится</w:t>
      </w: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8326F">
        <w:rPr>
          <w:rFonts w:ascii="Times New Roman" w:eastAsia="Times New Roman" w:hAnsi="Times New Roman"/>
          <w:sz w:val="28"/>
          <w:szCs w:val="28"/>
          <w:lang w:eastAsia="ru-RU"/>
        </w:rPr>
        <w:t>2 131,0 (в т.</w:t>
      </w:r>
      <w:r w:rsidR="00832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26F">
        <w:rPr>
          <w:rFonts w:ascii="Times New Roman" w:eastAsia="Times New Roman" w:hAnsi="Times New Roman"/>
          <w:sz w:val="28"/>
          <w:szCs w:val="28"/>
          <w:lang w:eastAsia="ru-RU"/>
        </w:rPr>
        <w:t>ч. ранее внесенными изменениями – 1 123,1 тыс.</w:t>
      </w:r>
      <w:r w:rsidR="00983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26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983D5D"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</w:t>
      </w:r>
      <w:r w:rsidR="0038326F">
        <w:rPr>
          <w:rFonts w:ascii="Times New Roman" w:eastAsia="Times New Roman" w:hAnsi="Times New Roman"/>
          <w:sz w:val="28"/>
          <w:szCs w:val="28"/>
          <w:lang w:eastAsia="ru-RU"/>
        </w:rPr>
        <w:t>первоначально утвержденным бюджетом и составит 12 231,2 тыс.</w:t>
      </w:r>
      <w:r w:rsidR="00983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326F">
        <w:rPr>
          <w:rFonts w:ascii="Times New Roman" w:eastAsia="Times New Roman" w:hAnsi="Times New Roman"/>
          <w:sz w:val="28"/>
          <w:szCs w:val="28"/>
          <w:lang w:eastAsia="ru-RU"/>
        </w:rPr>
        <w:t xml:space="preserve">руб. По сравнению с уточненным бюджетом поселения, его доходная часть увеличится на 1 007,9 тыс. руб. </w:t>
      </w:r>
    </w:p>
    <w:p w:rsidR="00A16105" w:rsidRDefault="00A16105" w:rsidP="00A1610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170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доходам бюджета поселения на 2017 год, приведен в Табл. 1. </w:t>
      </w:r>
    </w:p>
    <w:p w:rsidR="00B37271" w:rsidRPr="0083298C" w:rsidRDefault="00B37271" w:rsidP="00B3727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(</w:t>
      </w:r>
      <w:proofErr w:type="spellStart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83298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4711"/>
        <w:gridCol w:w="1663"/>
        <w:gridCol w:w="1985"/>
        <w:gridCol w:w="1134"/>
      </w:tblGrid>
      <w:tr w:rsidR="00A44E3D" w:rsidRPr="00A44E3D" w:rsidTr="00792C23">
        <w:tc>
          <w:tcPr>
            <w:tcW w:w="4711" w:type="dxa"/>
            <w:vMerge w:val="restart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648" w:type="dxa"/>
            <w:gridSpan w:val="2"/>
          </w:tcPr>
          <w:p w:rsidR="00C9039C" w:rsidRPr="00A44E3D" w:rsidRDefault="004B5BAF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Сумма изменений 2017</w:t>
            </w:r>
            <w:r w:rsidR="00C9039C"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</w:tr>
      <w:tr w:rsidR="00A44E3D" w:rsidRPr="00A44E3D" w:rsidTr="00792C23">
        <w:tc>
          <w:tcPr>
            <w:tcW w:w="4711" w:type="dxa"/>
            <w:vMerge/>
          </w:tcPr>
          <w:p w:rsidR="00C9039C" w:rsidRPr="00A44E3D" w:rsidRDefault="00C9039C" w:rsidP="003030D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3" w:type="dxa"/>
          </w:tcPr>
          <w:p w:rsidR="00C9039C" w:rsidRPr="00A44E3D" w:rsidRDefault="001B41E3" w:rsidP="001B41E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Решение с учетом ранее внесенных изменений </w:t>
            </w:r>
          </w:p>
        </w:tc>
        <w:tc>
          <w:tcPr>
            <w:tcW w:w="1985" w:type="dxa"/>
          </w:tcPr>
          <w:p w:rsidR="00C9039C" w:rsidRPr="00A44E3D" w:rsidRDefault="001B41E3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  <w:vMerge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всего</w:t>
            </w:r>
          </w:p>
        </w:tc>
        <w:tc>
          <w:tcPr>
            <w:tcW w:w="1663" w:type="dxa"/>
          </w:tcPr>
          <w:p w:rsidR="00C9039C" w:rsidRPr="00A44E3D" w:rsidRDefault="005311F2" w:rsidP="003030D7">
            <w:pPr>
              <w:widowControl w:val="0"/>
              <w:ind w:lef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7 345,7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7 345,7</w:t>
            </w:r>
          </w:p>
        </w:tc>
        <w:tc>
          <w:tcPr>
            <w:tcW w:w="1134" w:type="dxa"/>
          </w:tcPr>
          <w:p w:rsidR="00C9039C" w:rsidRPr="00A44E3D" w:rsidRDefault="005311F2" w:rsidP="004A2C9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1663" w:type="dxa"/>
          </w:tcPr>
          <w:p w:rsidR="00C9039C" w:rsidRPr="00A44E3D" w:rsidRDefault="001B41E3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1630,1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1630,1</w:t>
            </w:r>
          </w:p>
        </w:tc>
        <w:tc>
          <w:tcPr>
            <w:tcW w:w="1134" w:type="dxa"/>
          </w:tcPr>
          <w:p w:rsidR="00C9039C" w:rsidRPr="00A44E3D" w:rsidRDefault="005311F2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имущество, в том числе: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2403,0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2403,0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670,8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1431,3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1431,3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1197,5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1197,5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3" w:type="dxa"/>
          </w:tcPr>
          <w:p w:rsidR="00C9039C" w:rsidRPr="00A44E3D" w:rsidRDefault="00FA738A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039C"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трансферты, всего</w:t>
            </w:r>
          </w:p>
        </w:tc>
        <w:tc>
          <w:tcPr>
            <w:tcW w:w="1663" w:type="dxa"/>
          </w:tcPr>
          <w:p w:rsidR="00C9039C" w:rsidRPr="00A44E3D" w:rsidRDefault="00FA738A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3 877,6</w:t>
            </w:r>
          </w:p>
        </w:tc>
        <w:tc>
          <w:tcPr>
            <w:tcW w:w="1985" w:type="dxa"/>
          </w:tcPr>
          <w:p w:rsidR="00C9039C" w:rsidRPr="00A44E3D" w:rsidRDefault="004E790B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4 885,5</w:t>
            </w:r>
          </w:p>
        </w:tc>
        <w:tc>
          <w:tcPr>
            <w:tcW w:w="1134" w:type="dxa"/>
          </w:tcPr>
          <w:p w:rsidR="00C9039C" w:rsidRPr="00A44E3D" w:rsidRDefault="004E790B" w:rsidP="0063546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+1 007,9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2575,6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2575,6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 xml:space="preserve">Прочие субсидии бюджетам городских поселений </w:t>
            </w:r>
          </w:p>
        </w:tc>
        <w:tc>
          <w:tcPr>
            <w:tcW w:w="1663" w:type="dxa"/>
          </w:tcPr>
          <w:p w:rsidR="00C9039C" w:rsidRPr="00A44E3D" w:rsidRDefault="0058469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9039C"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985" w:type="dxa"/>
          </w:tcPr>
          <w:p w:rsidR="00C9039C" w:rsidRPr="00A44E3D" w:rsidRDefault="00584694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1 907,9</w:t>
            </w:r>
          </w:p>
        </w:tc>
        <w:tc>
          <w:tcPr>
            <w:tcW w:w="1134" w:type="dxa"/>
          </w:tcPr>
          <w:p w:rsidR="00C9039C" w:rsidRPr="00A44E3D" w:rsidRDefault="00C9039C" w:rsidP="00584694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584694">
              <w:rPr>
                <w:rFonts w:ascii="Times New Roman" w:eastAsia="Times New Roman" w:hAnsi="Times New Roman" w:cs="Times New Roman"/>
                <w:lang w:eastAsia="ru-RU"/>
              </w:rPr>
              <w:t>1 007,9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187,0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rPr>
          <w:trHeight w:val="741"/>
        </w:trPr>
        <w:tc>
          <w:tcPr>
            <w:tcW w:w="4711" w:type="dxa"/>
          </w:tcPr>
          <w:p w:rsidR="00C9039C" w:rsidRPr="00A44E3D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субъекта РФ</w:t>
            </w:r>
          </w:p>
        </w:tc>
        <w:tc>
          <w:tcPr>
            <w:tcW w:w="1663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1134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44E3D" w:rsidRPr="00A44E3D" w:rsidTr="00792C23">
        <w:tc>
          <w:tcPr>
            <w:tcW w:w="4711" w:type="dxa"/>
          </w:tcPr>
          <w:p w:rsidR="00C9039C" w:rsidRPr="00A44E3D" w:rsidRDefault="00C9039C" w:rsidP="0063546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1663" w:type="dxa"/>
          </w:tcPr>
          <w:p w:rsidR="00C9039C" w:rsidRPr="00A44E3D" w:rsidRDefault="00661FBD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  <w:r w:rsidR="00C9039C" w:rsidRPr="00A44E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985" w:type="dxa"/>
          </w:tcPr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E3D">
              <w:rPr>
                <w:rFonts w:ascii="Times New Roman" w:eastAsia="Times New Roman" w:hAnsi="Times New Roman" w:cs="Times New Roman"/>
                <w:lang w:eastAsia="ru-RU"/>
              </w:rPr>
              <w:t>213,0</w:t>
            </w:r>
          </w:p>
        </w:tc>
        <w:tc>
          <w:tcPr>
            <w:tcW w:w="1134" w:type="dxa"/>
          </w:tcPr>
          <w:p w:rsidR="00C9039C" w:rsidRPr="00A44E3D" w:rsidRDefault="00C013F3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C9039C" w:rsidRPr="00A44E3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C9039C" w:rsidRPr="00A44E3D" w:rsidRDefault="00C9039C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039C" w:rsidRPr="0008381A" w:rsidTr="00792C23">
        <w:tc>
          <w:tcPr>
            <w:tcW w:w="4711" w:type="dxa"/>
          </w:tcPr>
          <w:p w:rsidR="00C9039C" w:rsidRPr="008776AF" w:rsidRDefault="00C9039C" w:rsidP="003030D7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всего:</w:t>
            </w:r>
          </w:p>
        </w:tc>
        <w:tc>
          <w:tcPr>
            <w:tcW w:w="1663" w:type="dxa"/>
          </w:tcPr>
          <w:p w:rsidR="00C9039C" w:rsidRPr="008776AF" w:rsidRDefault="00E069B8" w:rsidP="003030D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11223,3</w:t>
            </w:r>
          </w:p>
        </w:tc>
        <w:tc>
          <w:tcPr>
            <w:tcW w:w="1985" w:type="dxa"/>
          </w:tcPr>
          <w:p w:rsidR="00C9039C" w:rsidRPr="008776AF" w:rsidRDefault="00C9039C" w:rsidP="00E069B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069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  <w:r w:rsidR="00E069B8">
              <w:rPr>
                <w:rFonts w:ascii="Times New Roman" w:eastAsia="Times New Roman" w:hAnsi="Times New Roman" w:cs="Times New Roman"/>
                <w:b/>
                <w:lang w:eastAsia="ru-RU"/>
              </w:rPr>
              <w:t>31</w:t>
            </w: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069B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C9039C" w:rsidRPr="008776AF" w:rsidRDefault="00C9039C" w:rsidP="00814D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76AF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814DD6">
              <w:rPr>
                <w:rFonts w:ascii="Times New Roman" w:eastAsia="Times New Roman" w:hAnsi="Times New Roman" w:cs="Times New Roman"/>
                <w:b/>
                <w:lang w:eastAsia="ru-RU"/>
              </w:rPr>
              <w:t>1 007,9</w:t>
            </w:r>
          </w:p>
        </w:tc>
      </w:tr>
    </w:tbl>
    <w:p w:rsidR="00B37271" w:rsidRDefault="00B37271" w:rsidP="00B372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019" w:rsidRDefault="00A13DEB" w:rsidP="002159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B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ояснительной записки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 «</w:t>
      </w:r>
      <w:r w:rsidR="00E64D12" w:rsidRPr="0076627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№95 от 22.12.2016г. «О бюджете Хелюльского городского поселения на 201</w:t>
      </w:r>
      <w:r w:rsidR="00E64D12">
        <w:rPr>
          <w:rFonts w:ascii="Times New Roman" w:hAnsi="Times New Roman" w:cs="Times New Roman"/>
          <w:sz w:val="28"/>
          <w:szCs w:val="28"/>
        </w:rPr>
        <w:t>7</w:t>
      </w:r>
      <w:r w:rsidR="00E64D12" w:rsidRPr="00766272">
        <w:rPr>
          <w:rFonts w:ascii="Times New Roman" w:hAnsi="Times New Roman" w:cs="Times New Roman"/>
          <w:sz w:val="28"/>
          <w:szCs w:val="28"/>
        </w:rPr>
        <w:t xml:space="preserve"> год</w:t>
      </w:r>
      <w:r w:rsidR="00E64D12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годов»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Пояснительная записка) у</w:t>
      </w:r>
      <w:r w:rsidR="00EB2D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доходов связано</w:t>
      </w:r>
      <w:r w:rsidR="00FE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субсидии </w:t>
      </w:r>
      <w:r w:rsidR="00FE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Республики Карелия 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государственной программы Республики Карелия «Развитие транспортной системы» в целях содержания и ремонта </w:t>
      </w:r>
      <w:r w:rsidR="000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 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1 007,9</w:t>
      </w:r>
      <w:r w:rsidR="005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Республики Карелия от 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.02.2017г. №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ра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спределении на 2017 год субсидий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бюджетам</w:t>
      </w:r>
      <w:r w:rsidR="00710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государственной программы Республики Карелия «Развитие транспортной системы» (в целях содержания и ремонта</w:t>
      </w:r>
      <w:r w:rsidR="00040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670CB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0ECC" w:rsidRDefault="00EB0EC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3C5019" w:rsidRDefault="003C5019" w:rsidP="003C501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787" w:rsidRDefault="003C5019" w:rsidP="002D27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0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ается установить расходы на 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сумме </w:t>
      </w:r>
      <w:r w:rsidR="002D2787">
        <w:rPr>
          <w:rFonts w:ascii="Times New Roman" w:eastAsia="Times New Roman" w:hAnsi="Times New Roman"/>
          <w:sz w:val="28"/>
          <w:szCs w:val="28"/>
          <w:lang w:eastAsia="ru-RU"/>
        </w:rPr>
        <w:t>12 951,1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на </w:t>
      </w:r>
      <w:r w:rsidR="002D2787">
        <w:rPr>
          <w:rFonts w:ascii="Times New Roman" w:eastAsia="Times New Roman" w:hAnsi="Times New Roman"/>
          <w:sz w:val="28"/>
          <w:szCs w:val="28"/>
          <w:lang w:eastAsia="ru-RU"/>
        </w:rPr>
        <w:t>2 120,9</w:t>
      </w:r>
      <w:r w:rsidR="0003579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больше первоначально утвержденного бюджета. </w:t>
      </w:r>
      <w:r w:rsidR="002D27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поселения, его расходная часть увеличится на 1 007,9 тыс. руб. </w:t>
      </w:r>
    </w:p>
    <w:p w:rsidR="00510DC5" w:rsidRDefault="00510DC5" w:rsidP="00105D1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46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2E7D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05D14">
        <w:rPr>
          <w:rFonts w:ascii="Times New Roman" w:eastAsia="Times New Roman" w:hAnsi="Times New Roman"/>
          <w:sz w:val="28"/>
          <w:szCs w:val="28"/>
          <w:lang w:eastAsia="ru-RU"/>
        </w:rPr>
        <w:t>приведен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абл</w:t>
      </w:r>
      <w:r w:rsidR="007D3A9D">
        <w:rPr>
          <w:rFonts w:ascii="Times New Roman" w:eastAsia="Times New Roman" w:hAnsi="Times New Roman"/>
          <w:sz w:val="28"/>
          <w:szCs w:val="28"/>
          <w:lang w:eastAsia="ru-RU"/>
        </w:rPr>
        <w:t>ице 2</w:t>
      </w:r>
      <w:r w:rsidR="008A1A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0DC5" w:rsidRPr="007D3A9D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Табл</w:t>
      </w:r>
      <w:r w:rsidR="007D3A9D" w:rsidRPr="007D3A9D">
        <w:rPr>
          <w:rFonts w:ascii="Times New Roman" w:eastAsia="Times New Roman" w:hAnsi="Times New Roman"/>
          <w:sz w:val="24"/>
          <w:szCs w:val="24"/>
          <w:lang w:eastAsia="ru-RU"/>
        </w:rPr>
        <w:t>ица 2</w:t>
      </w:r>
      <w:r w:rsidR="007D3A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D3A9D">
        <w:rPr>
          <w:rFonts w:ascii="Times New Roman" w:eastAsia="Times New Roman" w:hAnsi="Times New Roman"/>
          <w:sz w:val="24"/>
          <w:szCs w:val="24"/>
          <w:lang w:eastAsia="ru-RU"/>
        </w:rPr>
        <w:t>тыс. руб.</w:t>
      </w:r>
      <w:r w:rsidR="00D947B0" w:rsidRPr="007D3A9D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985"/>
        <w:gridCol w:w="1780"/>
        <w:gridCol w:w="1338"/>
      </w:tblGrid>
      <w:tr w:rsidR="00DA16D5" w:rsidTr="00D77470">
        <w:tc>
          <w:tcPr>
            <w:tcW w:w="3114" w:type="dxa"/>
            <w:vMerge w:val="restart"/>
          </w:tcPr>
          <w:p w:rsidR="00DA16D5" w:rsidRPr="000356CC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F26BB7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Раздел,</w:t>
            </w:r>
          </w:p>
          <w:p w:rsidR="00DA16D5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5103" w:type="dxa"/>
            <w:gridSpan w:val="3"/>
          </w:tcPr>
          <w:p w:rsidR="00DA16D5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B20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D77470">
        <w:tc>
          <w:tcPr>
            <w:tcW w:w="3114" w:type="dxa"/>
            <w:vMerge/>
          </w:tcPr>
          <w:p w:rsidR="00DA16D5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:rsidR="00DA16D5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A16D5" w:rsidRPr="000356CC" w:rsidRDefault="00DA16D5" w:rsidP="00F26BB7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Утвержденный бюджет</w:t>
            </w:r>
            <w:r w:rsidR="00035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изменений</w:t>
            </w:r>
          </w:p>
        </w:tc>
        <w:tc>
          <w:tcPr>
            <w:tcW w:w="1780" w:type="dxa"/>
          </w:tcPr>
          <w:p w:rsidR="00DA16D5" w:rsidRPr="000356CC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</w:p>
        </w:tc>
        <w:tc>
          <w:tcPr>
            <w:tcW w:w="1338" w:type="dxa"/>
          </w:tcPr>
          <w:p w:rsidR="00DA16D5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P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65B22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5" w:type="dxa"/>
          </w:tcPr>
          <w:p w:rsidR="00A65B22" w:rsidRPr="00E57317" w:rsidRDefault="00E57317" w:rsidP="00F26BB7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3 972,0</w:t>
            </w:r>
          </w:p>
        </w:tc>
        <w:tc>
          <w:tcPr>
            <w:tcW w:w="1780" w:type="dxa"/>
          </w:tcPr>
          <w:p w:rsidR="00A65B22" w:rsidRPr="00E57317" w:rsidRDefault="00E57317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3972,0</w:t>
            </w:r>
          </w:p>
        </w:tc>
        <w:tc>
          <w:tcPr>
            <w:tcW w:w="1338" w:type="dxa"/>
            <w:vAlign w:val="center"/>
          </w:tcPr>
          <w:p w:rsidR="00A65B22" w:rsidRPr="000356CC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P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85" w:type="dxa"/>
          </w:tcPr>
          <w:p w:rsidR="00A65B22" w:rsidRPr="00E57317" w:rsidRDefault="00E57317" w:rsidP="00F26BB7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780" w:type="dxa"/>
          </w:tcPr>
          <w:p w:rsidR="00A65B22" w:rsidRPr="00E57317" w:rsidRDefault="00E57317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338" w:type="dxa"/>
            <w:vAlign w:val="center"/>
          </w:tcPr>
          <w:p w:rsidR="00A65B22" w:rsidRPr="000356CC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5" w:type="dxa"/>
          </w:tcPr>
          <w:p w:rsidR="00A65B22" w:rsidRPr="00E57317" w:rsidRDefault="00E57317" w:rsidP="00F26BB7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780" w:type="dxa"/>
          </w:tcPr>
          <w:p w:rsidR="00A65B22" w:rsidRPr="00E57317" w:rsidRDefault="00E57317" w:rsidP="00F26BB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38" w:type="dxa"/>
            <w:vAlign w:val="center"/>
          </w:tcPr>
          <w:p w:rsidR="00A65B22" w:rsidRPr="000356CC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35791" w:rsidTr="00D77470">
        <w:tc>
          <w:tcPr>
            <w:tcW w:w="3114" w:type="dxa"/>
            <w:vAlign w:val="center"/>
          </w:tcPr>
          <w:p w:rsidR="00035791" w:rsidRPr="00A65B22" w:rsidRDefault="00DD1701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65B22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035791" w:rsidRPr="00E57317" w:rsidRDefault="00DD1701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5" w:type="dxa"/>
          </w:tcPr>
          <w:p w:rsidR="00035791" w:rsidRPr="00C90159" w:rsidRDefault="006800C3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1 050,0</w:t>
            </w:r>
          </w:p>
        </w:tc>
        <w:tc>
          <w:tcPr>
            <w:tcW w:w="1780" w:type="dxa"/>
          </w:tcPr>
          <w:p w:rsidR="00035791" w:rsidRPr="00C90159" w:rsidRDefault="006800C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2 057,9</w:t>
            </w:r>
          </w:p>
        </w:tc>
        <w:tc>
          <w:tcPr>
            <w:tcW w:w="1338" w:type="dxa"/>
            <w:vAlign w:val="center"/>
          </w:tcPr>
          <w:p w:rsidR="00035791" w:rsidRPr="00C90159" w:rsidRDefault="00943486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680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1 007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6800C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B203F" w:rsidTr="00D77470">
        <w:tc>
          <w:tcPr>
            <w:tcW w:w="3114" w:type="dxa"/>
            <w:vAlign w:val="center"/>
          </w:tcPr>
          <w:p w:rsidR="00EB203F" w:rsidRPr="00E57317" w:rsidRDefault="00DD1701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EB203F" w:rsidRPr="00E57317" w:rsidRDefault="00DD1701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5" w:type="dxa"/>
          </w:tcPr>
          <w:p w:rsidR="00EB203F" w:rsidRPr="00E57317" w:rsidRDefault="006800C3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780" w:type="dxa"/>
          </w:tcPr>
          <w:p w:rsidR="00EB203F" w:rsidRPr="00E57317" w:rsidRDefault="006800C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1 957,9</w:t>
            </w:r>
          </w:p>
        </w:tc>
        <w:tc>
          <w:tcPr>
            <w:tcW w:w="1338" w:type="dxa"/>
            <w:vAlign w:val="center"/>
          </w:tcPr>
          <w:p w:rsidR="00EB203F" w:rsidRPr="00E57317" w:rsidRDefault="006800C3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+1 007,9</w:t>
            </w:r>
          </w:p>
          <w:p w:rsidR="00F67AAB" w:rsidRPr="00E57317" w:rsidRDefault="00F67AAB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Pr="00E57317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lang w:eastAsia="ru-RU"/>
              </w:rPr>
              <w:t>Другие вопросы национальной экономики</w:t>
            </w:r>
          </w:p>
        </w:tc>
        <w:tc>
          <w:tcPr>
            <w:tcW w:w="992" w:type="dxa"/>
          </w:tcPr>
          <w:p w:rsidR="00A65B22" w:rsidRPr="00E57317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85" w:type="dxa"/>
          </w:tcPr>
          <w:p w:rsidR="00A65B22" w:rsidRPr="00E57317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80" w:type="dxa"/>
          </w:tcPr>
          <w:p w:rsidR="00A65B22" w:rsidRPr="00E57317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5" w:type="dxa"/>
          </w:tcPr>
          <w:p w:rsidR="00A65B22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1 526,0</w:t>
            </w:r>
          </w:p>
        </w:tc>
        <w:tc>
          <w:tcPr>
            <w:tcW w:w="1780" w:type="dxa"/>
          </w:tcPr>
          <w:p w:rsidR="00A65B22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1 526,0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5" w:type="dxa"/>
          </w:tcPr>
          <w:p w:rsidR="00A65B22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2 185,0</w:t>
            </w:r>
          </w:p>
        </w:tc>
        <w:tc>
          <w:tcPr>
            <w:tcW w:w="1780" w:type="dxa"/>
          </w:tcPr>
          <w:p w:rsidR="00A65B22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2 185,0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5" w:type="dxa"/>
          </w:tcPr>
          <w:p w:rsidR="00A65B22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780" w:type="dxa"/>
          </w:tcPr>
          <w:p w:rsidR="00A65B22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5" w:type="dxa"/>
          </w:tcPr>
          <w:p w:rsidR="00A65B22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2 658,0</w:t>
            </w:r>
          </w:p>
        </w:tc>
        <w:tc>
          <w:tcPr>
            <w:tcW w:w="1780" w:type="dxa"/>
          </w:tcPr>
          <w:p w:rsidR="00A65B22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2 658,0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65B22" w:rsidTr="00D77470">
        <w:tc>
          <w:tcPr>
            <w:tcW w:w="3114" w:type="dxa"/>
            <w:vAlign w:val="center"/>
          </w:tcPr>
          <w:p w:rsidR="00A65B22" w:rsidRDefault="00A65B22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65B22" w:rsidRPr="00E57317" w:rsidRDefault="00E57317" w:rsidP="00E57317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731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985" w:type="dxa"/>
          </w:tcPr>
          <w:p w:rsidR="00A65B22" w:rsidRDefault="00E57317" w:rsidP="006800C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780" w:type="dxa"/>
          </w:tcPr>
          <w:p w:rsidR="00A65B22" w:rsidRDefault="00E57317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338" w:type="dxa"/>
            <w:vAlign w:val="center"/>
          </w:tcPr>
          <w:p w:rsidR="00A65B22" w:rsidRDefault="00E57317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035791" w:rsidTr="00D77470">
        <w:trPr>
          <w:trHeight w:val="305"/>
        </w:trPr>
        <w:tc>
          <w:tcPr>
            <w:tcW w:w="3114" w:type="dxa"/>
          </w:tcPr>
          <w:p w:rsidR="00035791" w:rsidRPr="00A65B22" w:rsidRDefault="00035791" w:rsidP="00776DDE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65B22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992" w:type="dxa"/>
          </w:tcPr>
          <w:p w:rsidR="00035791" w:rsidRPr="001341AC" w:rsidRDefault="00035791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035791" w:rsidRPr="005E122C" w:rsidRDefault="006800C3" w:rsidP="00776DD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11 943,2</w:t>
            </w:r>
          </w:p>
        </w:tc>
        <w:tc>
          <w:tcPr>
            <w:tcW w:w="1780" w:type="dxa"/>
          </w:tcPr>
          <w:p w:rsidR="00035791" w:rsidRPr="005E122C" w:rsidRDefault="006800C3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12 951,1</w:t>
            </w:r>
          </w:p>
        </w:tc>
        <w:tc>
          <w:tcPr>
            <w:tcW w:w="1338" w:type="dxa"/>
            <w:vAlign w:val="center"/>
          </w:tcPr>
          <w:p w:rsidR="00035791" w:rsidRPr="005E122C" w:rsidRDefault="006800C3" w:rsidP="00E573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+1 007,9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15D1" w:rsidRPr="00845793" w:rsidRDefault="00CA15D1" w:rsidP="00CA15D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6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видно из данных </w:t>
      </w:r>
      <w:r w:rsidR="00BB6131" w:rsidRPr="00EB126F">
        <w:rPr>
          <w:rFonts w:ascii="Times New Roman" w:eastAsia="Times New Roman" w:hAnsi="Times New Roman"/>
          <w:sz w:val="28"/>
          <w:szCs w:val="28"/>
          <w:lang w:eastAsia="ru-RU"/>
        </w:rPr>
        <w:t>таблицы</w:t>
      </w:r>
      <w:r w:rsidR="00300E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6131" w:rsidRPr="00EB126F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увеличение расходов планируется по разделу «</w:t>
      </w:r>
      <w:r w:rsidR="00EB126F" w:rsidRPr="00EB126F">
        <w:rPr>
          <w:rFonts w:ascii="Times New Roman" w:eastAsia="Times New Roman" w:hAnsi="Times New Roman"/>
          <w:sz w:val="28"/>
          <w:szCs w:val="28"/>
          <w:lang w:eastAsia="ru-RU"/>
        </w:rPr>
        <w:t>Национальная экономика</w:t>
      </w:r>
      <w:r w:rsidR="00BB6131" w:rsidRPr="00EB126F">
        <w:rPr>
          <w:rFonts w:ascii="Times New Roman" w:eastAsia="Times New Roman" w:hAnsi="Times New Roman"/>
          <w:sz w:val="28"/>
          <w:szCs w:val="28"/>
          <w:lang w:eastAsia="ru-RU"/>
        </w:rPr>
        <w:t>» по подразделу «</w:t>
      </w:r>
      <w:r w:rsidR="00EB126F" w:rsidRPr="00EB126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67075F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орожное хозяйство» </w:t>
      </w:r>
      <w:r w:rsidR="00EB126F" w:rsidRPr="00EB126F">
        <w:rPr>
          <w:rFonts w:ascii="Times New Roman" w:eastAsia="Times New Roman" w:hAnsi="Times New Roman"/>
          <w:sz w:val="28"/>
          <w:szCs w:val="28"/>
          <w:lang w:eastAsia="ru-RU"/>
        </w:rPr>
        <w:t>(дорожные фонды).</w:t>
      </w:r>
      <w:r w:rsidR="00BB61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5D1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Пояснительной записке увеличение ассигнований запланировано </w:t>
      </w:r>
      <w:r w:rsidR="002E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государственной программы Республики Карелия «Развитие </w:t>
      </w:r>
      <w:r w:rsidR="002E53A1" w:rsidRPr="00845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 системы» в целях содержания и ремонта</w:t>
      </w:r>
      <w:r w:rsidR="00F97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7259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ре</w:t>
      </w:r>
      <w:r w:rsidR="00725972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 автомобильной дороги общего пользования по ул. Комсомольская (от </w:t>
      </w:r>
      <w:r w:rsidR="007259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972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ортавальского шоссе до ул. Октябрьская) в </w:t>
      </w:r>
      <w:proofErr w:type="spellStart"/>
      <w:r w:rsidR="00725972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725972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25972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Хелюля</w:t>
      </w:r>
      <w:proofErr w:type="spellEnd"/>
      <w:r w:rsidR="002E7DF7" w:rsidRPr="00845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E7DF7" w:rsidRDefault="005C068B" w:rsidP="00E7770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обоснования планируемых мероприяти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й к проекту бюджета представлен</w:t>
      </w:r>
      <w:r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Локальный ресурсный сметный расчет №с.07/04/03/2016 </w:t>
      </w:r>
      <w:r w:rsid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автомобильной дороги общего пользования по ул. Комсомольская (от </w:t>
      </w:r>
      <w:r w:rsid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ортавальского шоссе до ул. Октябрьская) в </w:t>
      </w:r>
      <w:proofErr w:type="spellStart"/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Хелюля</w:t>
      </w:r>
      <w:proofErr w:type="spellEnd"/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выполненный</w:t>
      </w:r>
      <w:r w:rsidR="00A05770" w:rsidRPr="002C39BD">
        <w:t xml:space="preserve"> 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РК "Сортавальское ДРСУ", проверенн</w:t>
      </w:r>
      <w:r w:rsidR="00083D3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«РЦС Республики Карелия». </w:t>
      </w:r>
      <w:r w:rsidR="00D1759B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(письмо №2/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D1759B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05770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1759B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EF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1759B" w:rsidRPr="002C39BD">
        <w:rPr>
          <w:rFonts w:ascii="Times New Roman" w:eastAsia="Times New Roman" w:hAnsi="Times New Roman" w:cs="Times New Roman"/>
          <w:sz w:val="28"/>
          <w:szCs w:val="28"/>
          <w:lang w:eastAsia="ru-RU"/>
        </w:rPr>
        <w:t>.2016г).</w:t>
      </w:r>
    </w:p>
    <w:p w:rsidR="00CE09AB" w:rsidRDefault="00CE09AB" w:rsidP="000411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п.5 Порядка формирования и использования бюджетных ассигнований муниципального дорожного фонда Хелюльского городского поселения, утвержденного Решением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04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созыва Совета Хелюльского городского поселения от 28.11.2013г. №1 </w:t>
      </w:r>
      <w:r w:rsidR="0030279F">
        <w:rPr>
          <w:rFonts w:ascii="Times New Roman" w:hAnsi="Times New Roman" w:cs="Times New Roman"/>
          <w:sz w:val="28"/>
          <w:szCs w:val="28"/>
        </w:rPr>
        <w:t>(далее - Порядок формирования и использования муниципального дорожного фонда)</w:t>
      </w:r>
      <w:r w:rsidR="00F20479">
        <w:rPr>
          <w:rFonts w:ascii="Times New Roman" w:hAnsi="Times New Roman" w:cs="Times New Roman"/>
          <w:sz w:val="28"/>
          <w:szCs w:val="28"/>
        </w:rPr>
        <w:t>,</w:t>
      </w:r>
      <w:r w:rsidR="00302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муниципального дорожного фонда Хелюльского городского поселения осуществляется </w:t>
      </w:r>
      <w:r w:rsidRPr="00F20479"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утвержденной</w:t>
      </w:r>
      <w:r w:rsidRPr="00CE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 Хелюльского городского поселения.</w:t>
      </w:r>
    </w:p>
    <w:p w:rsidR="00041185" w:rsidRPr="004910CC" w:rsidRDefault="00041185" w:rsidP="000411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№7 к Решению о бюджете поселения на 2017 и плановый период 2018 и 2019 годов</w:t>
      </w:r>
      <w:r w:rsidRPr="00041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1185">
        <w:rPr>
          <w:rFonts w:ascii="Times New Roman" w:hAnsi="Times New Roman" w:cs="Times New Roman"/>
          <w:sz w:val="28"/>
          <w:szCs w:val="28"/>
        </w:rPr>
        <w:t>аспределен</w:t>
      </w:r>
      <w:r w:rsidR="0068756D">
        <w:rPr>
          <w:rFonts w:ascii="Times New Roman" w:hAnsi="Times New Roman" w:cs="Times New Roman"/>
          <w:sz w:val="28"/>
          <w:szCs w:val="28"/>
        </w:rPr>
        <w:t>ы</w:t>
      </w:r>
      <w:r w:rsidRPr="00041185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68756D">
        <w:rPr>
          <w:rFonts w:ascii="Times New Roman" w:hAnsi="Times New Roman" w:cs="Times New Roman"/>
          <w:sz w:val="28"/>
          <w:szCs w:val="28"/>
        </w:rPr>
        <w:t>е</w:t>
      </w:r>
      <w:r w:rsidRPr="00041185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68756D">
        <w:rPr>
          <w:rFonts w:ascii="Times New Roman" w:hAnsi="Times New Roman" w:cs="Times New Roman"/>
          <w:sz w:val="28"/>
          <w:szCs w:val="28"/>
        </w:rPr>
        <w:t>я</w:t>
      </w:r>
      <w:r w:rsidRPr="00041185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целевых программ Хелюльского городского поселения </w:t>
      </w:r>
      <w:r w:rsidR="0068756D">
        <w:rPr>
          <w:rFonts w:ascii="Times New Roman" w:hAnsi="Times New Roman" w:cs="Times New Roman"/>
          <w:sz w:val="28"/>
          <w:szCs w:val="28"/>
        </w:rPr>
        <w:t>п</w:t>
      </w:r>
      <w:r w:rsidR="004910CC">
        <w:rPr>
          <w:rFonts w:ascii="Times New Roman" w:hAnsi="Times New Roman" w:cs="Times New Roman"/>
          <w:sz w:val="28"/>
          <w:szCs w:val="28"/>
        </w:rPr>
        <w:t xml:space="preserve">о разделам, </w:t>
      </w:r>
      <w:r w:rsidRPr="00041185">
        <w:rPr>
          <w:rFonts w:ascii="Times New Roman" w:hAnsi="Times New Roman" w:cs="Times New Roman"/>
          <w:sz w:val="28"/>
          <w:szCs w:val="28"/>
        </w:rPr>
        <w:t>подразделам, целевым статьям, группам, подгруппам, элементам видов расходов классификации расходов бюджета Хелюльского городского поселения на 2017 год и плановый период 2018-2019г.г.</w:t>
      </w:r>
      <w:r w:rsidR="004910CC">
        <w:rPr>
          <w:rFonts w:ascii="Times New Roman" w:hAnsi="Times New Roman" w:cs="Times New Roman"/>
          <w:sz w:val="28"/>
          <w:szCs w:val="28"/>
        </w:rPr>
        <w:t xml:space="preserve"> </w:t>
      </w:r>
      <w:r w:rsidR="004910CC" w:rsidRPr="004910CC">
        <w:rPr>
          <w:rFonts w:ascii="Times New Roman" w:hAnsi="Times New Roman" w:cs="Times New Roman"/>
          <w:sz w:val="28"/>
          <w:szCs w:val="28"/>
        </w:rPr>
        <w:t xml:space="preserve">Контрольно-счетный комитет отмечает, </w:t>
      </w:r>
      <w:r w:rsidR="00F20479">
        <w:rPr>
          <w:rFonts w:ascii="Times New Roman" w:hAnsi="Times New Roman" w:cs="Times New Roman"/>
          <w:sz w:val="28"/>
          <w:szCs w:val="28"/>
        </w:rPr>
        <w:t>что п</w:t>
      </w:r>
      <w:r w:rsidR="00BF568B" w:rsidRPr="00BF568B">
        <w:rPr>
          <w:rFonts w:ascii="Times New Roman" w:hAnsi="Times New Roman" w:cs="Times New Roman"/>
          <w:sz w:val="28"/>
          <w:szCs w:val="28"/>
        </w:rPr>
        <w:t xml:space="preserve">редставленным проектом не предлагается вносить изменения в Приложении №7 к Решению о бюджете, в </w:t>
      </w:r>
      <w:r w:rsidR="003958E2">
        <w:rPr>
          <w:rFonts w:ascii="Times New Roman" w:hAnsi="Times New Roman" w:cs="Times New Roman"/>
          <w:sz w:val="28"/>
          <w:szCs w:val="28"/>
        </w:rPr>
        <w:t xml:space="preserve">части изменения бюджетных ассигнований на реализацию </w:t>
      </w:r>
      <w:r w:rsidR="00BF568B" w:rsidRPr="00BF568B">
        <w:rPr>
          <w:rFonts w:ascii="Times New Roman" w:hAnsi="Times New Roman" w:cs="Times New Roman"/>
          <w:sz w:val="28"/>
          <w:szCs w:val="28"/>
        </w:rPr>
        <w:t xml:space="preserve">МЦП "Развитие автомобильных дорог местного значения в </w:t>
      </w:r>
      <w:proofErr w:type="spellStart"/>
      <w:r w:rsidR="00BF568B" w:rsidRPr="00BF568B"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 w:rsidR="00BF568B" w:rsidRPr="00BF568B">
        <w:rPr>
          <w:rFonts w:ascii="Times New Roman" w:hAnsi="Times New Roman" w:cs="Times New Roman"/>
          <w:sz w:val="28"/>
          <w:szCs w:val="28"/>
        </w:rPr>
        <w:t xml:space="preserve"> городском поселении на 2017-2019г.г.</w:t>
      </w:r>
      <w:r w:rsidR="00123D6F">
        <w:rPr>
          <w:rFonts w:ascii="Times New Roman" w:hAnsi="Times New Roman" w:cs="Times New Roman"/>
          <w:sz w:val="28"/>
          <w:szCs w:val="28"/>
        </w:rPr>
        <w:t>».</w:t>
      </w:r>
    </w:p>
    <w:p w:rsidR="001C7BF5" w:rsidRPr="00722F1E" w:rsidRDefault="001C7BF5" w:rsidP="008F2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E3D">
        <w:rPr>
          <w:rFonts w:ascii="Times New Roman" w:hAnsi="Times New Roman" w:cs="Times New Roman"/>
          <w:sz w:val="28"/>
          <w:szCs w:val="28"/>
        </w:rPr>
        <w:t xml:space="preserve">В ходе экспертизы документов </w:t>
      </w:r>
      <w:r w:rsidR="00722F1E" w:rsidRPr="00A44E3D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44E3D" w:rsidRPr="00A44E3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22F1E">
        <w:rPr>
          <w:rFonts w:ascii="Times New Roman" w:hAnsi="Times New Roman" w:cs="Times New Roman"/>
          <w:sz w:val="28"/>
          <w:szCs w:val="28"/>
        </w:rPr>
        <w:t xml:space="preserve">Контрольно-счетным комитетом выявлено, что бюджетные ассигнования </w:t>
      </w:r>
      <w:r w:rsidR="00722F1E" w:rsidRPr="00722F1E">
        <w:rPr>
          <w:rFonts w:ascii="Times New Roman" w:hAnsi="Times New Roman" w:cs="Times New Roman"/>
          <w:sz w:val="28"/>
          <w:szCs w:val="28"/>
        </w:rPr>
        <w:t>по подразделу 0106 «Обеспечение деятельности финансовых, налоговых и таможенных органов, и органов финансового (финансово-бюджетного) надзора» на 2017 год предусмотрены в сумме 151,0 тыс. рублей.</w:t>
      </w:r>
    </w:p>
    <w:p w:rsidR="00425D50" w:rsidRPr="008F2EFA" w:rsidRDefault="001C7BF5" w:rsidP="008F2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25D50" w:rsidRPr="008F2EFA">
        <w:rPr>
          <w:rFonts w:ascii="Times New Roman" w:hAnsi="Times New Roman" w:cs="Times New Roman"/>
          <w:sz w:val="28"/>
          <w:szCs w:val="28"/>
        </w:rPr>
        <w:t>Советом Хелюльского городского поселения полномочия контрольно-счетного органа Хелюльского городского поселения переданы Контрольно-счетному комитету Сортавальского муниципального района путем заключения Соглашения о передач</w:t>
      </w:r>
      <w:r w:rsidR="00EB0ECC">
        <w:rPr>
          <w:rFonts w:ascii="Times New Roman" w:hAnsi="Times New Roman" w:cs="Times New Roman"/>
          <w:sz w:val="28"/>
          <w:szCs w:val="28"/>
        </w:rPr>
        <w:t>е</w:t>
      </w:r>
      <w:r w:rsidR="00425D50" w:rsidRPr="008F2EFA">
        <w:rPr>
          <w:rFonts w:ascii="Times New Roman" w:hAnsi="Times New Roman" w:cs="Times New Roman"/>
          <w:sz w:val="28"/>
          <w:szCs w:val="28"/>
        </w:rPr>
        <w:t xml:space="preserve"> полномочий от 22.12.2016 года. </w:t>
      </w:r>
      <w:r w:rsidR="00722F1E">
        <w:rPr>
          <w:rFonts w:ascii="Times New Roman" w:hAnsi="Times New Roman" w:cs="Times New Roman"/>
          <w:sz w:val="28"/>
          <w:szCs w:val="28"/>
        </w:rPr>
        <w:t>Согласно пункта 4.5 Соглашения о</w:t>
      </w:r>
      <w:r w:rsidR="00425D50" w:rsidRPr="008F2EFA">
        <w:rPr>
          <w:rFonts w:ascii="Times New Roman" w:hAnsi="Times New Roman" w:cs="Times New Roman"/>
          <w:sz w:val="28"/>
          <w:szCs w:val="28"/>
        </w:rPr>
        <w:t>бъем межбюджетных трансфертов, передаваемых из бюджета Хелюльского городского поселения в бюджет Сортавальского муниципального района на период действия Соглашения (2017 год) равен 251,5 тыс. руб.</w:t>
      </w:r>
    </w:p>
    <w:p w:rsidR="006D267D" w:rsidRPr="008F2EFA" w:rsidRDefault="006D267D" w:rsidP="008F2EFA">
      <w:pPr>
        <w:spacing w:after="0" w:line="240" w:lineRule="auto"/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EFA">
        <w:rPr>
          <w:rFonts w:ascii="Times New Roman" w:hAnsi="Times New Roman" w:cs="Times New Roman"/>
          <w:sz w:val="28"/>
          <w:szCs w:val="28"/>
        </w:rPr>
        <w:t>Указанное обстоятельство является нарушением п.3 ст. 219 БК РФ</w:t>
      </w:r>
      <w:r w:rsidR="00EB0ECC">
        <w:rPr>
          <w:rFonts w:ascii="Times New Roman" w:hAnsi="Times New Roman" w:cs="Times New Roman"/>
          <w:sz w:val="28"/>
          <w:szCs w:val="28"/>
        </w:rPr>
        <w:t>,</w:t>
      </w:r>
      <w:r w:rsidRPr="008F2EFA">
        <w:rPr>
          <w:rFonts w:ascii="Times New Roman" w:hAnsi="Times New Roman" w:cs="Times New Roman"/>
          <w:sz w:val="28"/>
          <w:szCs w:val="28"/>
        </w:rPr>
        <w:t xml:space="preserve"> выразившееся в принятии бюджетные обязательства в объемах</w:t>
      </w:r>
      <w:r w:rsidR="008F2EFA">
        <w:rPr>
          <w:rFonts w:ascii="Times New Roman" w:hAnsi="Times New Roman" w:cs="Times New Roman"/>
          <w:sz w:val="28"/>
          <w:szCs w:val="28"/>
        </w:rPr>
        <w:t>,</w:t>
      </w:r>
      <w:r w:rsidRPr="008F2EFA">
        <w:rPr>
          <w:rFonts w:ascii="Times New Roman" w:hAnsi="Times New Roman" w:cs="Times New Roman"/>
          <w:sz w:val="28"/>
          <w:szCs w:val="28"/>
        </w:rPr>
        <w:t xml:space="preserve"> превышающих лимиты бюджетных обязательств.</w:t>
      </w:r>
    </w:p>
    <w:p w:rsidR="006D267D" w:rsidRPr="008F2EFA" w:rsidRDefault="006D267D" w:rsidP="008F2EFA">
      <w:pPr>
        <w:spacing w:after="0" w:line="240" w:lineRule="auto"/>
        <w:ind w:firstLine="481"/>
        <w:jc w:val="both"/>
        <w:rPr>
          <w:rFonts w:ascii="Times New Roman" w:hAnsi="Times New Roman" w:cs="Times New Roman"/>
          <w:sz w:val="28"/>
          <w:szCs w:val="28"/>
        </w:rPr>
      </w:pPr>
      <w:r w:rsidRPr="008F2EFA">
        <w:rPr>
          <w:rFonts w:ascii="Times New Roman" w:hAnsi="Times New Roman" w:cs="Times New Roman"/>
          <w:sz w:val="28"/>
          <w:szCs w:val="28"/>
        </w:rPr>
        <w:t>Данное нарушение, в соответствии со статьей 15.15.10.КоАП влечет наложение административного штрафа на должностных лиц в размере от двадцати до пятидесяти тысяч рублей.</w:t>
      </w:r>
    </w:p>
    <w:p w:rsidR="006A41AB" w:rsidRDefault="006A41AB" w:rsidP="00E77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40" w:rsidRDefault="00F35F40" w:rsidP="00E77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40" w:rsidRDefault="00F35F40" w:rsidP="00E77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5F40" w:rsidRDefault="00F35F40" w:rsidP="00E777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C2C" w:rsidRDefault="00FA7C2C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Дефицит (профицит) бюджета</w:t>
      </w:r>
    </w:p>
    <w:p w:rsidR="00C6462A" w:rsidRPr="00B83B9C" w:rsidRDefault="00C6462A" w:rsidP="00FA7C2C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988" w:rsidRDefault="00C6462A" w:rsidP="0058198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не предлагается изменять дефицит бюджет Хелюльского городского поселения на 2017 год. С учетом ранее внесенных изменений размер дефицита бюджета поселения на 2017 г. ос</w:t>
      </w:r>
      <w:r w:rsidR="00581988">
        <w:rPr>
          <w:rFonts w:ascii="Times New Roman" w:eastAsia="Times New Roman" w:hAnsi="Times New Roman"/>
          <w:sz w:val="28"/>
          <w:szCs w:val="28"/>
          <w:lang w:eastAsia="ru-RU"/>
        </w:rPr>
        <w:t>тается в объеме 719,9 тыс. руб.</w:t>
      </w:r>
    </w:p>
    <w:p w:rsidR="00F82EFE" w:rsidRDefault="00F82EFE" w:rsidP="00EB0ECC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75A" w:rsidRDefault="00B95E3A" w:rsidP="00EB0EC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995D4E" w:rsidRDefault="00995D4E" w:rsidP="00EB0EC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65" w:rsidRDefault="004A2677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  <w:r w:rsidR="00D855C2">
        <w:rPr>
          <w:rFonts w:ascii="Times New Roman" w:hAnsi="Times New Roman" w:cs="Times New Roman"/>
          <w:sz w:val="28"/>
          <w:szCs w:val="28"/>
        </w:rPr>
        <w:t>.</w:t>
      </w:r>
    </w:p>
    <w:p w:rsidR="00D855C2" w:rsidRDefault="00D855C2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EB0ECC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3784C" w:rsidRDefault="0093784C" w:rsidP="0093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84C" w:rsidRDefault="0093784C" w:rsidP="0093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</w:t>
      </w:r>
      <w:r w:rsidR="0058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экспертизу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№4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</w:t>
      </w:r>
      <w:r w:rsidR="00F204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 о порядке применения бюджетной классификации Российской Федерации, утвержденными приказом Мин</w:t>
      </w:r>
      <w:r w:rsidR="004E6E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 России от 01.07.2013 № 65н</w:t>
      </w:r>
      <w:r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1988" w:rsidRPr="00664E5F" w:rsidRDefault="00581988" w:rsidP="00937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970"/>
        <w:gridCol w:w="1938"/>
        <w:gridCol w:w="2172"/>
        <w:gridCol w:w="2546"/>
      </w:tblGrid>
      <w:tr w:rsidR="0093784C" w:rsidRPr="00845CCE" w:rsidTr="000A5DE8">
        <w:trPr>
          <w:cantSplit/>
          <w:trHeight w:val="1493"/>
        </w:trPr>
        <w:tc>
          <w:tcPr>
            <w:tcW w:w="385" w:type="pct"/>
          </w:tcPr>
          <w:p w:rsidR="0093784C" w:rsidRPr="00845CCE" w:rsidRDefault="0093784C" w:rsidP="00D108A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93784C" w:rsidRPr="00845CCE" w:rsidRDefault="0093784C" w:rsidP="00D108A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>пункта</w:t>
            </w:r>
          </w:p>
          <w:p w:rsidR="0093784C" w:rsidRPr="00845CCE" w:rsidRDefault="0093784C" w:rsidP="00D108A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054" w:type="pct"/>
          </w:tcPr>
          <w:p w:rsidR="0093784C" w:rsidRPr="00845CCE" w:rsidRDefault="0093784C" w:rsidP="0093784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КБК, указанный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4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к решению Совета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 городского поселения</w:t>
            </w:r>
          </w:p>
        </w:tc>
        <w:tc>
          <w:tcPr>
            <w:tcW w:w="1037" w:type="pct"/>
          </w:tcPr>
          <w:p w:rsidR="0093784C" w:rsidRPr="00845CCE" w:rsidRDefault="0093784C" w:rsidP="0093784C">
            <w:pPr>
              <w:jc w:val="center"/>
              <w:rPr>
                <w:rFonts w:ascii="Times New Roman" w:hAnsi="Times New Roman"/>
                <w:b/>
              </w:rPr>
            </w:pP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Наименование, указанное в Приложении №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Проекту </w:t>
            </w:r>
            <w:r w:rsidRPr="00845CCE">
              <w:rPr>
                <w:rFonts w:ascii="Times New Roman" w:eastAsia="Times New Roman" w:hAnsi="Times New Roman"/>
                <w:b/>
                <w:lang w:eastAsia="ru-RU"/>
              </w:rPr>
              <w:t xml:space="preserve">решению Совета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Хелюльского городского поселения</w:t>
            </w:r>
          </w:p>
        </w:tc>
        <w:tc>
          <w:tcPr>
            <w:tcW w:w="1162" w:type="pct"/>
          </w:tcPr>
          <w:p w:rsidR="0093784C" w:rsidRPr="002A5E96" w:rsidRDefault="0093784C" w:rsidP="00D108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>Код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362" w:type="pct"/>
          </w:tcPr>
          <w:p w:rsidR="0093784C" w:rsidRPr="002A5E96" w:rsidRDefault="0093784C" w:rsidP="00D108AC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2A5E9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Наименование в соответствии с</w:t>
            </w:r>
            <w:r w:rsidRPr="002A5E9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Приказом Минфина России от 1 июля 2013 г. N 65н «Об утверждении Указаний о порядке применения бюджетной классификации Российской Федерации»</w:t>
            </w:r>
          </w:p>
        </w:tc>
      </w:tr>
      <w:tr w:rsidR="0093784C" w:rsidRPr="00845CCE" w:rsidTr="000A5DE8">
        <w:trPr>
          <w:cantSplit/>
          <w:trHeight w:val="1644"/>
        </w:trPr>
        <w:tc>
          <w:tcPr>
            <w:tcW w:w="385" w:type="pct"/>
          </w:tcPr>
          <w:p w:rsidR="0093784C" w:rsidRPr="002A5E96" w:rsidRDefault="00FC12D7" w:rsidP="00D108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93784C" w:rsidRPr="002A5E96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054" w:type="pct"/>
          </w:tcPr>
          <w:p w:rsidR="00FC12D7" w:rsidRPr="00464BE5" w:rsidRDefault="00FC12D7" w:rsidP="00FC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E5">
              <w:rPr>
                <w:rFonts w:ascii="Times New Roman" w:hAnsi="Times New Roman" w:cs="Times New Roman"/>
                <w:sz w:val="20"/>
                <w:szCs w:val="20"/>
              </w:rPr>
              <w:t>1 11 05</w:t>
            </w:r>
            <w:r w:rsidRPr="00464B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</w:t>
            </w:r>
            <w:r w:rsidRPr="000A5D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</w:t>
            </w:r>
            <w:r w:rsidRPr="00464BE5">
              <w:rPr>
                <w:rFonts w:ascii="Times New Roman" w:hAnsi="Times New Roman" w:cs="Times New Roman"/>
                <w:sz w:val="20"/>
                <w:szCs w:val="20"/>
              </w:rPr>
              <w:t xml:space="preserve"> 13 0000 120</w:t>
            </w:r>
          </w:p>
          <w:p w:rsidR="0093784C" w:rsidRPr="002A5E96" w:rsidRDefault="0093784C" w:rsidP="00D108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7" w:type="pct"/>
          </w:tcPr>
          <w:p w:rsidR="00FC12D7" w:rsidRPr="00FC12D7" w:rsidRDefault="00FC12D7" w:rsidP="00FC1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93784C" w:rsidRPr="002A5E96" w:rsidRDefault="0093784C" w:rsidP="00D108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2" w:type="pct"/>
          </w:tcPr>
          <w:p w:rsidR="00FC12D7" w:rsidRPr="00464BE5" w:rsidRDefault="00FC12D7" w:rsidP="00FC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BE5">
              <w:rPr>
                <w:rFonts w:ascii="Times New Roman" w:hAnsi="Times New Roman" w:cs="Times New Roman"/>
                <w:sz w:val="20"/>
                <w:szCs w:val="20"/>
              </w:rPr>
              <w:t>1 11 05</w:t>
            </w:r>
            <w:r w:rsidRPr="00464BE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013</w:t>
            </w:r>
            <w:r w:rsidRPr="00464BE5">
              <w:rPr>
                <w:rFonts w:ascii="Times New Roman" w:hAnsi="Times New Roman" w:cs="Times New Roman"/>
                <w:sz w:val="20"/>
                <w:szCs w:val="20"/>
              </w:rPr>
              <w:t xml:space="preserve"> 13 0000 120</w:t>
            </w:r>
          </w:p>
          <w:p w:rsidR="0093784C" w:rsidRPr="002A5E96" w:rsidRDefault="0093784C" w:rsidP="00D108AC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62" w:type="pct"/>
          </w:tcPr>
          <w:p w:rsidR="00FC12D7" w:rsidRPr="00FC12D7" w:rsidRDefault="00FC12D7" w:rsidP="00FC12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2D7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93784C" w:rsidRPr="00DA5F2D" w:rsidRDefault="0093784C" w:rsidP="00D108AC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354DA5" w:rsidRPr="00845CCE" w:rsidTr="000A5DE8">
        <w:trPr>
          <w:cantSplit/>
          <w:trHeight w:val="1644"/>
        </w:trPr>
        <w:tc>
          <w:tcPr>
            <w:tcW w:w="385" w:type="pct"/>
          </w:tcPr>
          <w:p w:rsidR="00354DA5" w:rsidRPr="00354DA5" w:rsidRDefault="00354DA5" w:rsidP="00354DA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</w:p>
        </w:tc>
        <w:tc>
          <w:tcPr>
            <w:tcW w:w="1054" w:type="pct"/>
          </w:tcPr>
          <w:p w:rsidR="00354DA5" w:rsidRPr="00C63B7C" w:rsidRDefault="00354DA5" w:rsidP="00C63B7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3B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2 00 00000 00 0000 </w:t>
            </w:r>
            <w:r w:rsidRPr="00C63B7C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>151</w:t>
            </w:r>
          </w:p>
        </w:tc>
        <w:tc>
          <w:tcPr>
            <w:tcW w:w="1037" w:type="pct"/>
          </w:tcPr>
          <w:p w:rsidR="00354DA5" w:rsidRPr="00DA5F2D" w:rsidRDefault="00354DA5" w:rsidP="00354DA5">
            <w:pPr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Межбюджетные трансферты</w:t>
            </w:r>
          </w:p>
        </w:tc>
        <w:tc>
          <w:tcPr>
            <w:tcW w:w="1162" w:type="pct"/>
          </w:tcPr>
          <w:p w:rsidR="00354DA5" w:rsidRPr="00C63B7C" w:rsidRDefault="00354DA5" w:rsidP="00354DA5">
            <w:pPr>
              <w:pStyle w:val="1"/>
              <w:spacing w:before="0"/>
              <w:outlineLvl w:val="0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  <w:lang w:eastAsia="ru-RU"/>
              </w:rPr>
            </w:pPr>
            <w:r w:rsidRPr="00C63B7C"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ru-RU"/>
              </w:rPr>
              <w:t xml:space="preserve">2 00 00000 00 0000 </w:t>
            </w:r>
            <w:r w:rsidRPr="00C63B7C">
              <w:rPr>
                <w:rFonts w:ascii="Times New Roman" w:eastAsia="Times New Roman" w:hAnsi="Times New Roman"/>
                <w:color w:val="auto"/>
                <w:sz w:val="20"/>
                <w:szCs w:val="20"/>
                <w:u w:val="single"/>
                <w:lang w:eastAsia="ru-RU"/>
              </w:rPr>
              <w:t>000</w:t>
            </w:r>
          </w:p>
        </w:tc>
        <w:tc>
          <w:tcPr>
            <w:tcW w:w="1362" w:type="pct"/>
          </w:tcPr>
          <w:p w:rsidR="00354DA5" w:rsidRPr="00DA5F2D" w:rsidRDefault="00354DA5" w:rsidP="00354DA5">
            <w:pPr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A5F2D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Безвозмездные поступления</w:t>
            </w:r>
          </w:p>
        </w:tc>
      </w:tr>
    </w:tbl>
    <w:p w:rsidR="00F35F40" w:rsidRDefault="00F35F40" w:rsidP="008A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Контрольно-счетный комитет СМР </w:t>
      </w:r>
      <w:r w:rsidRPr="007B6E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обращает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согласно Инструкции №65н целевые статьи расходов бюджетов обеспечивают привязку бюджетных ассигнований к государственным (</w:t>
      </w:r>
      <w:r w:rsidRPr="007B6E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программам. Необходимо, в приложениях </w:t>
      </w:r>
      <w:r w:rsidR="008A73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73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0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обратить внимание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целевые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программным направл</w:t>
      </w:r>
      <w:r w:rsidR="008A7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ениям деятельности по подразделу </w:t>
      </w:r>
      <w:r w:rsidR="008A73AA" w:rsidRPr="00EB126F"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="008A73AA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орожное хозяйство» </w:t>
      </w:r>
      <w:r w:rsidR="008A73AA" w:rsidRPr="00EB126F">
        <w:rPr>
          <w:rFonts w:ascii="Times New Roman" w:eastAsia="Times New Roman" w:hAnsi="Times New Roman"/>
          <w:sz w:val="28"/>
          <w:szCs w:val="28"/>
          <w:lang w:eastAsia="ru-RU"/>
        </w:rPr>
        <w:t>(дорожные фонды)</w:t>
      </w:r>
      <w:r w:rsidR="008A7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3AA" w:rsidRPr="007B6EA8" w:rsidRDefault="008A73AA" w:rsidP="008A7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5C9" w:rsidRPr="004609DE" w:rsidRDefault="004C67CC" w:rsidP="00CD0515">
      <w:pPr>
        <w:pStyle w:val="a3"/>
        <w:widowControl w:val="0"/>
        <w:numPr>
          <w:ilvl w:val="0"/>
          <w:numId w:val="21"/>
        </w:numPr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DE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Pr="004609DE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увеличением доходной части бюджета поселения по сравнению с утвержденным бюджетом за счет предоставления субсидии из бюджета </w:t>
      </w:r>
      <w:r w:rsidRPr="0046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Карелия </w:t>
      </w:r>
      <w:r w:rsidR="00E51497" w:rsidRPr="00460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государственной программы Республики Карелия «Развитие транспортной системы» в целях содержания и ремонта</w:t>
      </w:r>
      <w:r w:rsidR="0033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4609DE" w:rsidRPr="0046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B3555" w:rsidRPr="004609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956768" w:rsidRPr="0046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</w:t>
      </w:r>
      <w:r w:rsidR="004609DE" w:rsidRPr="004609DE">
        <w:rPr>
          <w:rFonts w:ascii="Times New Roman" w:hAnsi="Times New Roman"/>
          <w:sz w:val="28"/>
          <w:szCs w:val="28"/>
        </w:rPr>
        <w:t xml:space="preserve"> поселения за счет средств субсидии по </w:t>
      </w:r>
      <w:r w:rsidR="004609DE" w:rsidRPr="004609DE">
        <w:rPr>
          <w:rFonts w:ascii="Times New Roman" w:eastAsia="Times New Roman" w:hAnsi="Times New Roman"/>
          <w:sz w:val="28"/>
          <w:szCs w:val="28"/>
          <w:lang w:eastAsia="ru-RU"/>
        </w:rPr>
        <w:t>подразделу «Дорожное хозяйство».</w:t>
      </w:r>
    </w:p>
    <w:p w:rsidR="00747748" w:rsidRDefault="00747748" w:rsidP="00CD0515">
      <w:pPr>
        <w:pStyle w:val="a3"/>
        <w:numPr>
          <w:ilvl w:val="0"/>
          <w:numId w:val="21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32747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07204C" w:rsidRPr="0032747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3274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1A42">
        <w:rPr>
          <w:rFonts w:ascii="Times New Roman" w:hAnsi="Times New Roman" w:cs="Times New Roman"/>
          <w:sz w:val="28"/>
          <w:szCs w:val="28"/>
        </w:rPr>
        <w:t>, с учетом ранее внесенных изменений</w:t>
      </w:r>
      <w:r w:rsidRPr="0032747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</w:t>
      </w:r>
      <w:r w:rsidR="00327470" w:rsidRPr="00327470">
        <w:rPr>
          <w:rFonts w:ascii="Times New Roman" w:hAnsi="Times New Roman" w:cs="Times New Roman"/>
          <w:sz w:val="28"/>
          <w:szCs w:val="28"/>
        </w:rPr>
        <w:t>бъем расходов и дефицит бюджета.</w:t>
      </w:r>
      <w:r w:rsidR="00327470">
        <w:rPr>
          <w:rFonts w:ascii="Times New Roman" w:hAnsi="Times New Roman" w:cs="Times New Roman"/>
          <w:sz w:val="28"/>
          <w:szCs w:val="28"/>
        </w:rPr>
        <w:t xml:space="preserve"> Н</w:t>
      </w:r>
      <w:r w:rsidRPr="00327470">
        <w:rPr>
          <w:rFonts w:ascii="Times New Roman" w:hAnsi="Times New Roman" w:cs="Times New Roman"/>
          <w:sz w:val="28"/>
          <w:szCs w:val="28"/>
        </w:rPr>
        <w:t>а 201</w:t>
      </w:r>
      <w:r w:rsidR="00C14AA4" w:rsidRPr="00327470">
        <w:rPr>
          <w:rFonts w:ascii="Times New Roman" w:hAnsi="Times New Roman" w:cs="Times New Roman"/>
          <w:sz w:val="28"/>
          <w:szCs w:val="28"/>
        </w:rPr>
        <w:t>7</w:t>
      </w:r>
      <w:r w:rsidRPr="00327470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956768" w:rsidRPr="00327470">
        <w:rPr>
          <w:rFonts w:ascii="Times New Roman" w:eastAsia="Times New Roman" w:hAnsi="Times New Roman"/>
          <w:sz w:val="28"/>
          <w:szCs w:val="28"/>
          <w:lang w:eastAsia="ru-RU"/>
        </w:rPr>
        <w:t>1 007,9</w:t>
      </w:r>
      <w:r w:rsidRPr="003274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802" w:rsidRPr="00327470">
        <w:rPr>
          <w:rFonts w:ascii="Times New Roman" w:hAnsi="Times New Roman" w:cs="Times New Roman"/>
          <w:sz w:val="28"/>
          <w:szCs w:val="28"/>
        </w:rPr>
        <w:t>тыс. руб. (</w:t>
      </w:r>
      <w:r w:rsidRPr="00327470">
        <w:rPr>
          <w:rFonts w:ascii="Times New Roman" w:hAnsi="Times New Roman" w:cs="Times New Roman"/>
          <w:sz w:val="28"/>
          <w:szCs w:val="28"/>
        </w:rPr>
        <w:t xml:space="preserve">на </w:t>
      </w:r>
      <w:r w:rsidR="00956768" w:rsidRPr="00327470">
        <w:rPr>
          <w:rFonts w:ascii="Times New Roman" w:hAnsi="Times New Roman" w:cs="Times New Roman"/>
          <w:sz w:val="28"/>
          <w:szCs w:val="28"/>
        </w:rPr>
        <w:t>9</w:t>
      </w:r>
      <w:r w:rsidR="0077714E">
        <w:rPr>
          <w:rFonts w:ascii="Times New Roman" w:hAnsi="Times New Roman" w:cs="Times New Roman"/>
          <w:sz w:val="28"/>
          <w:szCs w:val="28"/>
        </w:rPr>
        <w:t>,0</w:t>
      </w:r>
      <w:r w:rsidR="00091517" w:rsidRPr="00327470">
        <w:rPr>
          <w:rFonts w:ascii="Times New Roman" w:hAnsi="Times New Roman" w:cs="Times New Roman"/>
          <w:sz w:val="28"/>
          <w:szCs w:val="28"/>
        </w:rPr>
        <w:t>%), расходы</w:t>
      </w:r>
      <w:r w:rsidRPr="00327470">
        <w:rPr>
          <w:rFonts w:ascii="Times New Roman" w:hAnsi="Times New Roman" w:cs="Times New Roman"/>
          <w:sz w:val="28"/>
          <w:szCs w:val="28"/>
        </w:rPr>
        <w:t xml:space="preserve"> бюджета увеличатся на </w:t>
      </w:r>
      <w:r w:rsidR="00956768" w:rsidRPr="00327470">
        <w:rPr>
          <w:rFonts w:ascii="Times New Roman" w:hAnsi="Times New Roman" w:cs="Times New Roman"/>
          <w:sz w:val="28"/>
          <w:szCs w:val="28"/>
        </w:rPr>
        <w:t>1 007</w:t>
      </w:r>
      <w:r w:rsidR="00091517" w:rsidRPr="00327470">
        <w:rPr>
          <w:rFonts w:ascii="Times New Roman" w:hAnsi="Times New Roman" w:cs="Times New Roman"/>
          <w:sz w:val="28"/>
          <w:szCs w:val="28"/>
        </w:rPr>
        <w:t>,</w:t>
      </w:r>
      <w:r w:rsidR="00956768" w:rsidRPr="00327470">
        <w:rPr>
          <w:rFonts w:ascii="Times New Roman" w:hAnsi="Times New Roman" w:cs="Times New Roman"/>
          <w:sz w:val="28"/>
          <w:szCs w:val="28"/>
        </w:rPr>
        <w:t>9</w:t>
      </w:r>
      <w:r w:rsidRPr="00327470">
        <w:rPr>
          <w:rFonts w:ascii="Times New Roman" w:hAnsi="Times New Roman" w:cs="Times New Roman"/>
          <w:sz w:val="28"/>
          <w:szCs w:val="28"/>
        </w:rPr>
        <w:t xml:space="preserve"> тыс. руб. (на </w:t>
      </w:r>
      <w:r w:rsidR="00956768" w:rsidRPr="00327470">
        <w:rPr>
          <w:rFonts w:ascii="Times New Roman" w:hAnsi="Times New Roman" w:cs="Times New Roman"/>
          <w:sz w:val="28"/>
          <w:szCs w:val="28"/>
        </w:rPr>
        <w:t>8</w:t>
      </w:r>
      <w:r w:rsidRPr="00327470">
        <w:rPr>
          <w:rFonts w:ascii="Times New Roman" w:hAnsi="Times New Roman" w:cs="Times New Roman"/>
          <w:sz w:val="28"/>
          <w:szCs w:val="28"/>
        </w:rPr>
        <w:t xml:space="preserve">,0%), дефицит бюджета </w:t>
      </w:r>
      <w:r w:rsidR="00956768" w:rsidRPr="00327470">
        <w:rPr>
          <w:rFonts w:ascii="Times New Roman" w:hAnsi="Times New Roman" w:cs="Times New Roman"/>
          <w:sz w:val="28"/>
          <w:szCs w:val="28"/>
        </w:rPr>
        <w:t>остается без изменений</w:t>
      </w:r>
      <w:r w:rsidR="00E8369F" w:rsidRPr="00327470">
        <w:rPr>
          <w:rFonts w:ascii="Times New Roman" w:hAnsi="Times New Roman" w:cs="Times New Roman"/>
          <w:sz w:val="28"/>
          <w:szCs w:val="28"/>
        </w:rPr>
        <w:t>.</w:t>
      </w:r>
    </w:p>
    <w:p w:rsidR="00B32466" w:rsidRDefault="00B32466" w:rsidP="00CD0515">
      <w:pPr>
        <w:pStyle w:val="a3"/>
        <w:widowControl w:val="0"/>
        <w:numPr>
          <w:ilvl w:val="0"/>
          <w:numId w:val="21"/>
        </w:numPr>
        <w:spacing w:after="0" w:line="240" w:lineRule="auto"/>
        <w:ind w:left="4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E3D">
        <w:rPr>
          <w:rFonts w:ascii="Times New Roman" w:hAnsi="Times New Roman" w:cs="Times New Roman"/>
          <w:sz w:val="28"/>
          <w:szCs w:val="28"/>
        </w:rPr>
        <w:t>Основные характеристики бюджета</w:t>
      </w:r>
      <w:r w:rsidRPr="00A44E3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2018г. и 2019г. по сравнению с утвержденным бюджетом в представленном проекте Решения не изменились. </w:t>
      </w:r>
    </w:p>
    <w:p w:rsidR="000551D8" w:rsidRPr="00F64B11" w:rsidRDefault="000551D8" w:rsidP="00CD0515">
      <w:pPr>
        <w:pStyle w:val="a3"/>
        <w:numPr>
          <w:ilvl w:val="0"/>
          <w:numId w:val="21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F64B11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B11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 w:rsidRPr="00F64B1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F64B11">
        <w:rPr>
          <w:rFonts w:ascii="Times New Roman" w:hAnsi="Times New Roman" w:cs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общегосударственные вопросы (3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4B11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физическую культуру и спорт (21</w:t>
      </w:r>
      <w:r w:rsidRPr="00F64B11">
        <w:rPr>
          <w:rFonts w:ascii="Times New Roman" w:hAnsi="Times New Roman" w:cs="Times New Roman"/>
          <w:sz w:val="28"/>
          <w:szCs w:val="28"/>
        </w:rPr>
        <w:t>%), на культуру и кинематографию (1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4B11">
        <w:rPr>
          <w:rFonts w:ascii="Times New Roman" w:hAnsi="Times New Roman" w:cs="Times New Roman"/>
          <w:sz w:val="28"/>
          <w:szCs w:val="28"/>
        </w:rPr>
        <w:t xml:space="preserve">%), национальную экономику </w:t>
      </w:r>
      <w:r>
        <w:rPr>
          <w:rFonts w:ascii="Times New Roman" w:hAnsi="Times New Roman" w:cs="Times New Roman"/>
          <w:sz w:val="28"/>
          <w:szCs w:val="28"/>
        </w:rPr>
        <w:t xml:space="preserve">(16%), </w:t>
      </w:r>
      <w:r w:rsidRPr="00F64B11">
        <w:rPr>
          <w:rFonts w:ascii="Times New Roman" w:hAnsi="Times New Roman" w:cs="Times New Roman"/>
          <w:sz w:val="28"/>
          <w:szCs w:val="28"/>
        </w:rPr>
        <w:t>жилищно-коммунальное хозяйство (1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4B11">
        <w:rPr>
          <w:rFonts w:ascii="Times New Roman" w:hAnsi="Times New Roman" w:cs="Times New Roman"/>
          <w:sz w:val="28"/>
          <w:szCs w:val="28"/>
        </w:rPr>
        <w:t>,0%)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79F" w:rsidRPr="00897B66" w:rsidRDefault="0030279F" w:rsidP="00CD0515">
      <w:pPr>
        <w:pStyle w:val="a3"/>
        <w:numPr>
          <w:ilvl w:val="0"/>
          <w:numId w:val="21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По результатам проведенной экспертизы проекта</w:t>
      </w:r>
      <w:r w:rsidRPr="003027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79DA" w:rsidRPr="00300EF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выявлены </w:t>
      </w:r>
      <w:r w:rsidRPr="00300EF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нарушени</w:t>
      </w:r>
      <w:r w:rsidR="00D779DA" w:rsidRPr="00300EF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я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97B66" w:rsidRPr="0030279F" w:rsidRDefault="00897B66" w:rsidP="00CD0515">
      <w:pPr>
        <w:pStyle w:val="a3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035E7E" w:rsidRPr="004910CC" w:rsidRDefault="00046469" w:rsidP="00CD0515">
      <w:pPr>
        <w:pStyle w:val="a3"/>
        <w:numPr>
          <w:ilvl w:val="0"/>
          <w:numId w:val="2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A6895">
        <w:rPr>
          <w:rFonts w:ascii="Times New Roman" w:hAnsi="Times New Roman" w:cs="Times New Roman"/>
          <w:sz w:val="28"/>
          <w:szCs w:val="28"/>
        </w:rPr>
        <w:t>с</w:t>
      </w:r>
      <w:r w:rsidR="00D779DA" w:rsidRPr="00AA6895">
        <w:rPr>
          <w:rFonts w:ascii="Times New Roman" w:hAnsi="Times New Roman" w:cs="Times New Roman"/>
          <w:sz w:val="28"/>
          <w:szCs w:val="28"/>
        </w:rPr>
        <w:t>огласно п.5 Порядка формирования и использования муниципального дорожного фонда</w:t>
      </w:r>
      <w:r w:rsidR="00F20479">
        <w:rPr>
          <w:rFonts w:ascii="Times New Roman" w:hAnsi="Times New Roman" w:cs="Times New Roman"/>
          <w:sz w:val="28"/>
          <w:szCs w:val="28"/>
        </w:rPr>
        <w:t>,</w:t>
      </w:r>
      <w:r w:rsidR="00D779DA" w:rsidRPr="00AA6895">
        <w:rPr>
          <w:rFonts w:ascii="Times New Roman" w:hAnsi="Times New Roman" w:cs="Times New Roman"/>
          <w:sz w:val="28"/>
          <w:szCs w:val="28"/>
        </w:rPr>
        <w:t xml:space="preserve"> использование бюджетных ассигнований муниципального дорожного фонда Хелюльского городского поселения осуществляется в рамках реализации муниципальной программы, утвержденной администрацией Хелюльского городского поселения.</w:t>
      </w:r>
      <w:r w:rsidR="00BF568B" w:rsidRPr="00AA6895">
        <w:rPr>
          <w:rFonts w:ascii="Times New Roman" w:hAnsi="Times New Roman" w:cs="Times New Roman"/>
          <w:sz w:val="28"/>
          <w:szCs w:val="28"/>
        </w:rPr>
        <w:t xml:space="preserve"> П</w:t>
      </w:r>
      <w:r w:rsidR="00D779DA" w:rsidRPr="00AA6895">
        <w:rPr>
          <w:rFonts w:ascii="Times New Roman" w:hAnsi="Times New Roman" w:cs="Times New Roman"/>
          <w:sz w:val="28"/>
          <w:szCs w:val="28"/>
        </w:rPr>
        <w:t xml:space="preserve">редставленным проектом не предлагается вносить изменения в Приложении №7 к Решению о бюджете, </w:t>
      </w:r>
      <w:r w:rsidR="00035E7E" w:rsidRPr="00BF568B">
        <w:rPr>
          <w:rFonts w:ascii="Times New Roman" w:hAnsi="Times New Roman" w:cs="Times New Roman"/>
          <w:sz w:val="28"/>
          <w:szCs w:val="28"/>
        </w:rPr>
        <w:t xml:space="preserve">в </w:t>
      </w:r>
      <w:r w:rsidR="00035E7E">
        <w:rPr>
          <w:rFonts w:ascii="Times New Roman" w:hAnsi="Times New Roman" w:cs="Times New Roman"/>
          <w:sz w:val="28"/>
          <w:szCs w:val="28"/>
        </w:rPr>
        <w:t xml:space="preserve">части изменения бюджетных </w:t>
      </w:r>
      <w:r w:rsidR="00035E7E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на реализацию </w:t>
      </w:r>
      <w:r w:rsidR="00035E7E" w:rsidRPr="00BF568B">
        <w:rPr>
          <w:rFonts w:ascii="Times New Roman" w:hAnsi="Times New Roman" w:cs="Times New Roman"/>
          <w:sz w:val="28"/>
          <w:szCs w:val="28"/>
        </w:rPr>
        <w:t xml:space="preserve">МЦП "Развитие автомобильных дорог местного значения в </w:t>
      </w:r>
      <w:proofErr w:type="spellStart"/>
      <w:r w:rsidR="00035E7E" w:rsidRPr="00BF568B"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 w:rsidR="00035E7E" w:rsidRPr="00BF568B">
        <w:rPr>
          <w:rFonts w:ascii="Times New Roman" w:hAnsi="Times New Roman" w:cs="Times New Roman"/>
          <w:sz w:val="28"/>
          <w:szCs w:val="28"/>
        </w:rPr>
        <w:t xml:space="preserve"> городском поселении на 2017-2019г.г.</w:t>
      </w:r>
      <w:r w:rsidR="00035E7E">
        <w:rPr>
          <w:rFonts w:ascii="Times New Roman" w:hAnsi="Times New Roman" w:cs="Times New Roman"/>
          <w:sz w:val="28"/>
          <w:szCs w:val="28"/>
        </w:rPr>
        <w:t>»;</w:t>
      </w:r>
    </w:p>
    <w:p w:rsidR="0030279F" w:rsidRPr="00B271EF" w:rsidRDefault="00046469" w:rsidP="00CD0515">
      <w:pPr>
        <w:pStyle w:val="a3"/>
        <w:numPr>
          <w:ilvl w:val="0"/>
          <w:numId w:val="22"/>
        </w:numPr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79F" w:rsidRPr="003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BF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 экспертизу </w:t>
      </w:r>
      <w:r w:rsidR="0030279F" w:rsidRPr="0030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F56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279F" w:rsidRPr="0030279F">
        <w:rPr>
          <w:rFonts w:ascii="Times New Roman" w:eastAsia="Times New Roman" w:hAnsi="Times New Roman" w:cs="Times New Roman"/>
          <w:sz w:val="28"/>
          <w:szCs w:val="28"/>
          <w:lang w:eastAsia="ru-RU"/>
        </w:rPr>
        <w:t>№4 к проекту Решения применяются коды</w:t>
      </w:r>
      <w:r w:rsidR="00D954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79F" w:rsidRPr="0030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9F" w:rsidRPr="00302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соответствующие</w:t>
      </w:r>
      <w:r w:rsidR="00D95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79F" w:rsidRPr="0030279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Указаниям о порядке применения бюджетной классификации Российской Федерации, утвержденными приказом Минф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России от 01.07.2013 № 65н.</w:t>
      </w:r>
    </w:p>
    <w:p w:rsidR="00B271EF" w:rsidRPr="007D0028" w:rsidRDefault="00B271EF" w:rsidP="00CD051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7D0028">
        <w:rPr>
          <w:rFonts w:ascii="Times New Roman" w:hAnsi="Times New Roman" w:cs="Times New Roman"/>
          <w:sz w:val="28"/>
          <w:szCs w:val="28"/>
        </w:rPr>
        <w:t>По подразделу 0106 «Обеспечение деятельности финансовых, налоговых и таможенных органов, и органов финансового (финансово-бюджетного) надзора» на 2017 год предусмотрено бюджетных ассигнований в сумме 151,0 тыс. рублей, что меньше суммы принятых бюджетных обязательств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о передаче</w:t>
      </w:r>
      <w:r w:rsidRPr="007D0028">
        <w:rPr>
          <w:rFonts w:ascii="Times New Roman" w:hAnsi="Times New Roman" w:cs="Times New Roman"/>
          <w:sz w:val="28"/>
          <w:szCs w:val="28"/>
        </w:rPr>
        <w:t xml:space="preserve"> полномочий контрольно-счетного органа </w:t>
      </w:r>
      <w:proofErr w:type="spellStart"/>
      <w:r w:rsidRPr="007D002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7D0028">
        <w:rPr>
          <w:rFonts w:ascii="Times New Roman" w:hAnsi="Times New Roman" w:cs="Times New Roman"/>
          <w:sz w:val="28"/>
          <w:szCs w:val="28"/>
        </w:rPr>
        <w:t xml:space="preserve"> городского поселения Контрольно-счетному комитету Сортавальского муниципального района от 22.12.2016 года</w:t>
      </w:r>
      <w:r>
        <w:rPr>
          <w:rFonts w:ascii="Times New Roman" w:hAnsi="Times New Roman" w:cs="Times New Roman"/>
          <w:sz w:val="28"/>
          <w:szCs w:val="28"/>
        </w:rPr>
        <w:t xml:space="preserve"> (251,5 тыс. руб.).</w:t>
      </w:r>
      <w:r w:rsidRPr="007D0028">
        <w:rPr>
          <w:rFonts w:ascii="Times New Roman" w:hAnsi="Times New Roman" w:cs="Times New Roman"/>
          <w:sz w:val="28"/>
          <w:szCs w:val="28"/>
        </w:rPr>
        <w:t xml:space="preserve"> Указанное обстоятельство является нарушением п.3 ст. 219 БК РФ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028">
        <w:rPr>
          <w:rFonts w:ascii="Times New Roman" w:hAnsi="Times New Roman" w:cs="Times New Roman"/>
          <w:sz w:val="28"/>
          <w:szCs w:val="28"/>
        </w:rPr>
        <w:t xml:space="preserve"> в соответствии со статьей 15.15.10.КоАП влечет наложение административного штрафа на должностных лиц в размере от двадцати до пятидесяти тысяч рублей.</w:t>
      </w:r>
    </w:p>
    <w:p w:rsidR="003A704F" w:rsidRPr="00AE454D" w:rsidRDefault="003A704F" w:rsidP="00EB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E454D" w:rsidRDefault="00AE454D" w:rsidP="00AE454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="0067558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A85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8556E">
        <w:rPr>
          <w:rFonts w:ascii="Times New Roman" w:hAnsi="Times New Roman"/>
          <w:sz w:val="28"/>
          <w:szCs w:val="28"/>
        </w:rPr>
        <w:t xml:space="preserve"> рекомендовать</w:t>
      </w:r>
      <w:r>
        <w:rPr>
          <w:rFonts w:ascii="Times New Roman" w:hAnsi="Times New Roman"/>
          <w:sz w:val="28"/>
          <w:szCs w:val="28"/>
        </w:rPr>
        <w:t>:</w:t>
      </w:r>
    </w:p>
    <w:p w:rsidR="00EB0FA0" w:rsidRDefault="00EB0FA0" w:rsidP="00AE454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F4676" w:rsidRDefault="00310AC6" w:rsidP="00D279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AE454D" w:rsidRPr="009E632C">
        <w:rPr>
          <w:rFonts w:ascii="Times New Roman" w:hAnsi="Times New Roman"/>
          <w:sz w:val="28"/>
          <w:szCs w:val="28"/>
        </w:rPr>
        <w:t>ринять из</w:t>
      </w:r>
      <w:r w:rsidR="00421D9F">
        <w:rPr>
          <w:rFonts w:ascii="Times New Roman" w:hAnsi="Times New Roman"/>
          <w:sz w:val="28"/>
          <w:szCs w:val="28"/>
        </w:rPr>
        <w:t xml:space="preserve">менения в решение </w:t>
      </w:r>
      <w:r w:rsidR="00AE454D" w:rsidRPr="0074455A">
        <w:rPr>
          <w:rFonts w:ascii="Times New Roman" w:hAnsi="Times New Roman"/>
          <w:sz w:val="28"/>
          <w:szCs w:val="28"/>
        </w:rPr>
        <w:t xml:space="preserve">Совета </w:t>
      </w:r>
      <w:r w:rsidR="00421D9F" w:rsidRPr="0074455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№95 от 22.12.2016г. «О бюджете Хелюльского городского поселения на 2017 год и плановый период 2018-2019 годов»</w:t>
      </w:r>
      <w:r w:rsidR="007D129D" w:rsidRPr="007D129D">
        <w:rPr>
          <w:rFonts w:ascii="Times New Roman" w:hAnsi="Times New Roman"/>
          <w:sz w:val="28"/>
          <w:szCs w:val="28"/>
        </w:rPr>
        <w:t xml:space="preserve"> </w:t>
      </w:r>
      <w:r w:rsidR="007D129D">
        <w:rPr>
          <w:rFonts w:ascii="Times New Roman" w:hAnsi="Times New Roman"/>
          <w:sz w:val="28"/>
          <w:szCs w:val="28"/>
        </w:rPr>
        <w:t>с учетом необходимости корректировки приложения 4 к проекту решения, а также внесения дополнений в приложение №7 к Решению о бюджете.</w:t>
      </w:r>
    </w:p>
    <w:p w:rsidR="00310AC6" w:rsidRPr="00EB0FA0" w:rsidRDefault="00310AC6" w:rsidP="00D2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A0">
        <w:rPr>
          <w:rFonts w:ascii="Times New Roman" w:hAnsi="Times New Roman"/>
          <w:sz w:val="28"/>
          <w:szCs w:val="28"/>
        </w:rPr>
        <w:t xml:space="preserve">2.Привести в соответствие суммы бюджетных ассигнований </w:t>
      </w:r>
      <w:r w:rsidR="00EB0FA0" w:rsidRPr="00EB0FA0">
        <w:rPr>
          <w:rFonts w:ascii="Times New Roman" w:hAnsi="Times New Roman" w:cs="Times New Roman"/>
          <w:sz w:val="28"/>
          <w:szCs w:val="28"/>
        </w:rPr>
        <w:t>п</w:t>
      </w:r>
      <w:r w:rsidR="00EB0FA0" w:rsidRPr="00EB0FA0">
        <w:rPr>
          <w:rFonts w:ascii="Times New Roman" w:hAnsi="Times New Roman" w:cs="Times New Roman"/>
          <w:sz w:val="28"/>
          <w:szCs w:val="28"/>
        </w:rPr>
        <w:t xml:space="preserve">о подразделу 0106 «Обеспечение деятельности финансовых, налоговых и таможенных органов, и органов финансового (финансово-бюджетного) надзора» на 2017 год </w:t>
      </w:r>
      <w:r w:rsidRPr="00EB0FA0">
        <w:rPr>
          <w:rFonts w:ascii="Times New Roman" w:hAnsi="Times New Roman"/>
          <w:sz w:val="28"/>
          <w:szCs w:val="28"/>
        </w:rPr>
        <w:t>с принятыми бюдж</w:t>
      </w:r>
      <w:r w:rsidR="00B91D8C" w:rsidRPr="00EB0FA0">
        <w:rPr>
          <w:rFonts w:ascii="Times New Roman" w:hAnsi="Times New Roman"/>
          <w:sz w:val="28"/>
          <w:szCs w:val="28"/>
        </w:rPr>
        <w:t>етными обязательствами</w:t>
      </w:r>
      <w:r w:rsidR="00EB0FA0" w:rsidRPr="00EB0FA0">
        <w:rPr>
          <w:rFonts w:ascii="Times New Roman" w:hAnsi="Times New Roman" w:cs="Times New Roman"/>
          <w:sz w:val="28"/>
          <w:szCs w:val="28"/>
        </w:rPr>
        <w:t xml:space="preserve"> </w:t>
      </w:r>
      <w:r w:rsidR="00EB0FA0" w:rsidRPr="00EB0FA0">
        <w:rPr>
          <w:rFonts w:ascii="Times New Roman" w:hAnsi="Times New Roman" w:cs="Times New Roman"/>
          <w:sz w:val="28"/>
          <w:szCs w:val="28"/>
        </w:rPr>
        <w:t xml:space="preserve">по Соглашению о передаче полномочий контрольно-счетного органа </w:t>
      </w:r>
      <w:proofErr w:type="spellStart"/>
      <w:r w:rsidR="00EB0FA0" w:rsidRPr="00EB0FA0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B0FA0" w:rsidRPr="00EB0FA0">
        <w:rPr>
          <w:rFonts w:ascii="Times New Roman" w:hAnsi="Times New Roman" w:cs="Times New Roman"/>
          <w:sz w:val="28"/>
          <w:szCs w:val="28"/>
        </w:rPr>
        <w:t xml:space="preserve"> городского поселения Контрольно-счетному комитету </w:t>
      </w:r>
      <w:r w:rsidR="00B25CD7">
        <w:rPr>
          <w:rFonts w:ascii="Times New Roman" w:hAnsi="Times New Roman" w:cs="Times New Roman"/>
          <w:sz w:val="28"/>
          <w:szCs w:val="28"/>
        </w:rPr>
        <w:t>СМР</w:t>
      </w:r>
      <w:r w:rsidR="00EB0FA0" w:rsidRPr="00EB0FA0">
        <w:rPr>
          <w:rFonts w:ascii="Times New Roman" w:hAnsi="Times New Roman" w:cs="Times New Roman"/>
          <w:sz w:val="28"/>
          <w:szCs w:val="28"/>
        </w:rPr>
        <w:t xml:space="preserve"> от 22.12.2016 года</w:t>
      </w:r>
      <w:r w:rsidRPr="00EB0FA0">
        <w:rPr>
          <w:rFonts w:ascii="Times New Roman" w:hAnsi="Times New Roman"/>
          <w:sz w:val="28"/>
          <w:szCs w:val="28"/>
        </w:rPr>
        <w:t>.</w:t>
      </w:r>
    </w:p>
    <w:p w:rsidR="00123D6F" w:rsidRPr="004910CC" w:rsidRDefault="00310AC6" w:rsidP="00D2794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23D6F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="00123D6F" w:rsidRPr="0074455A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23D6F">
        <w:rPr>
          <w:rFonts w:ascii="Times New Roman" w:hAnsi="Times New Roman"/>
          <w:sz w:val="28"/>
          <w:szCs w:val="28"/>
        </w:rPr>
        <w:t xml:space="preserve"> городского поселения подготовить проект о внесении изменений и дополнений в Муниципальную программу </w:t>
      </w:r>
      <w:r w:rsidR="00123D6F" w:rsidRPr="00BF568B">
        <w:rPr>
          <w:rFonts w:ascii="Times New Roman" w:hAnsi="Times New Roman" w:cs="Times New Roman"/>
          <w:sz w:val="28"/>
          <w:szCs w:val="28"/>
        </w:rPr>
        <w:t xml:space="preserve">"Развитие автомобильных дорог местного значения в </w:t>
      </w:r>
      <w:proofErr w:type="spellStart"/>
      <w:r w:rsidR="00123D6F" w:rsidRPr="00BF568B">
        <w:rPr>
          <w:rFonts w:ascii="Times New Roman" w:hAnsi="Times New Roman" w:cs="Times New Roman"/>
          <w:sz w:val="28"/>
          <w:szCs w:val="28"/>
        </w:rPr>
        <w:t>Хелюльском</w:t>
      </w:r>
      <w:proofErr w:type="spellEnd"/>
      <w:r w:rsidR="00123D6F" w:rsidRPr="00BF568B">
        <w:rPr>
          <w:rFonts w:ascii="Times New Roman" w:hAnsi="Times New Roman" w:cs="Times New Roman"/>
          <w:sz w:val="28"/>
          <w:szCs w:val="28"/>
        </w:rPr>
        <w:t xml:space="preserve"> городском поселении на 2017-2019г.г.</w:t>
      </w:r>
      <w:r w:rsidR="00391373">
        <w:rPr>
          <w:rFonts w:ascii="Times New Roman" w:hAnsi="Times New Roman" w:cs="Times New Roman"/>
          <w:sz w:val="28"/>
          <w:szCs w:val="28"/>
        </w:rPr>
        <w:t xml:space="preserve">» и в соответствии со статьей 184.2 БК РФ, проект внесения изменений в паспорт </w:t>
      </w:r>
      <w:r w:rsidR="0048283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91373">
        <w:rPr>
          <w:rFonts w:ascii="Times New Roman" w:hAnsi="Times New Roman" w:cs="Times New Roman"/>
          <w:sz w:val="28"/>
          <w:szCs w:val="28"/>
        </w:rPr>
        <w:t>представить на экспертизу в Контрольно-счетный комитет</w:t>
      </w:r>
      <w:r w:rsidR="00482834">
        <w:rPr>
          <w:rFonts w:ascii="Times New Roman" w:hAnsi="Times New Roman" w:cs="Times New Roman"/>
          <w:sz w:val="28"/>
          <w:szCs w:val="28"/>
        </w:rPr>
        <w:t xml:space="preserve"> СМР</w:t>
      </w:r>
      <w:r w:rsidR="00391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D6F" w:rsidRDefault="00123D6F" w:rsidP="00123D6F">
      <w:pPr>
        <w:pStyle w:val="a3"/>
        <w:spacing w:after="0" w:line="240" w:lineRule="auto"/>
        <w:ind w:left="1080" w:firstLine="621"/>
        <w:jc w:val="both"/>
        <w:rPr>
          <w:rFonts w:ascii="Times New Roman" w:hAnsi="Times New Roman" w:cs="Times New Roman"/>
          <w:sz w:val="28"/>
          <w:szCs w:val="28"/>
        </w:rPr>
      </w:pPr>
    </w:p>
    <w:p w:rsidR="00327470" w:rsidRDefault="00327470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Default="00E755B2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  </w:t>
      </w:r>
      <w:r w:rsidR="00865E9E">
        <w:rPr>
          <w:rFonts w:ascii="Times New Roman" w:hAnsi="Times New Roman"/>
          <w:sz w:val="28"/>
          <w:szCs w:val="28"/>
        </w:rPr>
        <w:t xml:space="preserve">      </w:t>
      </w:r>
      <w:r w:rsidR="004821A1">
        <w:rPr>
          <w:rFonts w:ascii="Times New Roman" w:hAnsi="Times New Roman"/>
          <w:sz w:val="28"/>
          <w:szCs w:val="28"/>
        </w:rPr>
        <w:t xml:space="preserve">             Н.А. Астафьева</w:t>
      </w:r>
    </w:p>
    <w:sectPr w:rsidR="004821A1" w:rsidSect="004821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72" w:rsidRDefault="00731E72" w:rsidP="004821A1">
      <w:pPr>
        <w:spacing w:after="0" w:line="240" w:lineRule="auto"/>
      </w:pPr>
      <w:r>
        <w:separator/>
      </w:r>
    </w:p>
  </w:endnote>
  <w:endnote w:type="continuationSeparator" w:id="0">
    <w:p w:rsidR="00731E72" w:rsidRDefault="00731E72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72" w:rsidRDefault="00731E72" w:rsidP="004821A1">
      <w:pPr>
        <w:spacing w:after="0" w:line="240" w:lineRule="auto"/>
      </w:pPr>
      <w:r>
        <w:separator/>
      </w:r>
    </w:p>
  </w:footnote>
  <w:footnote w:type="continuationSeparator" w:id="0">
    <w:p w:rsidR="00731E72" w:rsidRDefault="00731E72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167E21" w:rsidRDefault="00167E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EFF">
          <w:rPr>
            <w:noProof/>
          </w:rPr>
          <w:t>8</w:t>
        </w:r>
        <w:r>
          <w:fldChar w:fldCharType="end"/>
        </w:r>
      </w:p>
    </w:sdtContent>
  </w:sdt>
  <w:p w:rsidR="00167E21" w:rsidRDefault="00167E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09C"/>
    <w:multiLevelType w:val="hybridMultilevel"/>
    <w:tmpl w:val="0F20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94F"/>
    <w:multiLevelType w:val="hybridMultilevel"/>
    <w:tmpl w:val="A5D0B5DA"/>
    <w:lvl w:ilvl="0" w:tplc="8066260C">
      <w:start w:val="1"/>
      <w:numFmt w:val="decimal"/>
      <w:lvlText w:val="%1."/>
      <w:lvlJc w:val="left"/>
      <w:pPr>
        <w:ind w:left="18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933C0F"/>
    <w:multiLevelType w:val="hybridMultilevel"/>
    <w:tmpl w:val="D10070B0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D057F0"/>
    <w:multiLevelType w:val="hybridMultilevel"/>
    <w:tmpl w:val="94449F1A"/>
    <w:lvl w:ilvl="0" w:tplc="F9F61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728D1"/>
    <w:multiLevelType w:val="hybridMultilevel"/>
    <w:tmpl w:val="106C86A2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240A7"/>
    <w:multiLevelType w:val="hybridMultilevel"/>
    <w:tmpl w:val="B5A02A5C"/>
    <w:lvl w:ilvl="0" w:tplc="5B0401E4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FC2DDE"/>
    <w:multiLevelType w:val="hybridMultilevel"/>
    <w:tmpl w:val="CDA60F9A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 w15:restartNumberingAfterBreak="0">
    <w:nsid w:val="30916D82"/>
    <w:multiLevelType w:val="hybridMultilevel"/>
    <w:tmpl w:val="BB320C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437A"/>
    <w:multiLevelType w:val="hybridMultilevel"/>
    <w:tmpl w:val="5284FFBA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93D0B"/>
    <w:multiLevelType w:val="hybridMultilevel"/>
    <w:tmpl w:val="209EC42C"/>
    <w:lvl w:ilvl="0" w:tplc="7902C03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D5BD7"/>
    <w:multiLevelType w:val="hybridMultilevel"/>
    <w:tmpl w:val="F1D64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9C157D"/>
    <w:multiLevelType w:val="hybridMultilevel"/>
    <w:tmpl w:val="EC74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858D3"/>
    <w:multiLevelType w:val="hybridMultilevel"/>
    <w:tmpl w:val="E340A3B6"/>
    <w:lvl w:ilvl="0" w:tplc="7902C036">
      <w:start w:val="1"/>
      <w:numFmt w:val="decimal"/>
      <w:lvlText w:val="%1."/>
      <w:lvlJc w:val="left"/>
      <w:pPr>
        <w:ind w:left="220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8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  <w:num w:numId="17">
    <w:abstractNumId w:val="20"/>
  </w:num>
  <w:num w:numId="18">
    <w:abstractNumId w:val="11"/>
  </w:num>
  <w:num w:numId="19">
    <w:abstractNumId w:val="0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5B"/>
    <w:rsid w:val="000015FB"/>
    <w:rsid w:val="000047C0"/>
    <w:rsid w:val="00011D82"/>
    <w:rsid w:val="00014E77"/>
    <w:rsid w:val="00021B7A"/>
    <w:rsid w:val="000356CC"/>
    <w:rsid w:val="00035791"/>
    <w:rsid w:val="00035E7E"/>
    <w:rsid w:val="00040F37"/>
    <w:rsid w:val="00041185"/>
    <w:rsid w:val="00042D9C"/>
    <w:rsid w:val="00044399"/>
    <w:rsid w:val="000448DA"/>
    <w:rsid w:val="00045C8F"/>
    <w:rsid w:val="00046469"/>
    <w:rsid w:val="000551D8"/>
    <w:rsid w:val="00060325"/>
    <w:rsid w:val="0006075A"/>
    <w:rsid w:val="0006471D"/>
    <w:rsid w:val="0007204C"/>
    <w:rsid w:val="0008140B"/>
    <w:rsid w:val="00083D3B"/>
    <w:rsid w:val="00085C2F"/>
    <w:rsid w:val="00091517"/>
    <w:rsid w:val="00091AAE"/>
    <w:rsid w:val="00094C0E"/>
    <w:rsid w:val="000960FC"/>
    <w:rsid w:val="000A5DE8"/>
    <w:rsid w:val="000A5EF3"/>
    <w:rsid w:val="000A6973"/>
    <w:rsid w:val="000B2D24"/>
    <w:rsid w:val="000B3914"/>
    <w:rsid w:val="000B7EB7"/>
    <w:rsid w:val="000C306F"/>
    <w:rsid w:val="000D3FC2"/>
    <w:rsid w:val="000D7732"/>
    <w:rsid w:val="000E0FBC"/>
    <w:rsid w:val="000E1D99"/>
    <w:rsid w:val="000F5A53"/>
    <w:rsid w:val="00101D77"/>
    <w:rsid w:val="0010407D"/>
    <w:rsid w:val="001058B0"/>
    <w:rsid w:val="00105D14"/>
    <w:rsid w:val="001121DB"/>
    <w:rsid w:val="0011605E"/>
    <w:rsid w:val="00123D6F"/>
    <w:rsid w:val="001341AC"/>
    <w:rsid w:val="00135888"/>
    <w:rsid w:val="00137BB5"/>
    <w:rsid w:val="00144BD0"/>
    <w:rsid w:val="0014653D"/>
    <w:rsid w:val="00152AC2"/>
    <w:rsid w:val="00167E21"/>
    <w:rsid w:val="00183CAA"/>
    <w:rsid w:val="00190C05"/>
    <w:rsid w:val="0019216B"/>
    <w:rsid w:val="0019292E"/>
    <w:rsid w:val="00193B84"/>
    <w:rsid w:val="00194E63"/>
    <w:rsid w:val="001A119B"/>
    <w:rsid w:val="001A1B4C"/>
    <w:rsid w:val="001A4F50"/>
    <w:rsid w:val="001B41E3"/>
    <w:rsid w:val="001C09A1"/>
    <w:rsid w:val="001C72DE"/>
    <w:rsid w:val="001C7BF5"/>
    <w:rsid w:val="001D24D6"/>
    <w:rsid w:val="001E1DE7"/>
    <w:rsid w:val="001E6727"/>
    <w:rsid w:val="001F3B70"/>
    <w:rsid w:val="001F7B54"/>
    <w:rsid w:val="0020048A"/>
    <w:rsid w:val="00201BE8"/>
    <w:rsid w:val="00203DA1"/>
    <w:rsid w:val="00206160"/>
    <w:rsid w:val="00215935"/>
    <w:rsid w:val="00215A59"/>
    <w:rsid w:val="0022567D"/>
    <w:rsid w:val="0023279F"/>
    <w:rsid w:val="00233E94"/>
    <w:rsid w:val="0025011C"/>
    <w:rsid w:val="00250F3B"/>
    <w:rsid w:val="00267052"/>
    <w:rsid w:val="002729B0"/>
    <w:rsid w:val="00284A7B"/>
    <w:rsid w:val="00285C31"/>
    <w:rsid w:val="0029585C"/>
    <w:rsid w:val="002A392F"/>
    <w:rsid w:val="002A7B61"/>
    <w:rsid w:val="002B1D92"/>
    <w:rsid w:val="002B7351"/>
    <w:rsid w:val="002C39BD"/>
    <w:rsid w:val="002C3D65"/>
    <w:rsid w:val="002D2787"/>
    <w:rsid w:val="002D559C"/>
    <w:rsid w:val="002E0E85"/>
    <w:rsid w:val="002E392C"/>
    <w:rsid w:val="002E53A1"/>
    <w:rsid w:val="002E6658"/>
    <w:rsid w:val="002E7DF7"/>
    <w:rsid w:val="002F4676"/>
    <w:rsid w:val="002F59A7"/>
    <w:rsid w:val="00300EFF"/>
    <w:rsid w:val="0030279F"/>
    <w:rsid w:val="00304669"/>
    <w:rsid w:val="00310AC6"/>
    <w:rsid w:val="003111F7"/>
    <w:rsid w:val="00311675"/>
    <w:rsid w:val="00312CB6"/>
    <w:rsid w:val="00316CFA"/>
    <w:rsid w:val="0032597E"/>
    <w:rsid w:val="00327470"/>
    <w:rsid w:val="00333758"/>
    <w:rsid w:val="00333DB0"/>
    <w:rsid w:val="00335908"/>
    <w:rsid w:val="00336BC8"/>
    <w:rsid w:val="003413B3"/>
    <w:rsid w:val="00344153"/>
    <w:rsid w:val="003453D4"/>
    <w:rsid w:val="00345986"/>
    <w:rsid w:val="00351451"/>
    <w:rsid w:val="00352856"/>
    <w:rsid w:val="00354DA5"/>
    <w:rsid w:val="00366649"/>
    <w:rsid w:val="003736ED"/>
    <w:rsid w:val="0038326F"/>
    <w:rsid w:val="00391373"/>
    <w:rsid w:val="003919E2"/>
    <w:rsid w:val="003951EC"/>
    <w:rsid w:val="003958E2"/>
    <w:rsid w:val="0039601A"/>
    <w:rsid w:val="003A17E1"/>
    <w:rsid w:val="003A2FF2"/>
    <w:rsid w:val="003A704F"/>
    <w:rsid w:val="003B2D14"/>
    <w:rsid w:val="003B6427"/>
    <w:rsid w:val="003B7E63"/>
    <w:rsid w:val="003C44A6"/>
    <w:rsid w:val="003C5019"/>
    <w:rsid w:val="003D45D8"/>
    <w:rsid w:val="003E63A5"/>
    <w:rsid w:val="00400D45"/>
    <w:rsid w:val="00401942"/>
    <w:rsid w:val="00402D93"/>
    <w:rsid w:val="00403238"/>
    <w:rsid w:val="00414CB4"/>
    <w:rsid w:val="00420A28"/>
    <w:rsid w:val="00421808"/>
    <w:rsid w:val="00421A87"/>
    <w:rsid w:val="00421D9F"/>
    <w:rsid w:val="00424EE0"/>
    <w:rsid w:val="00425D50"/>
    <w:rsid w:val="00427EEF"/>
    <w:rsid w:val="00440F27"/>
    <w:rsid w:val="0044716A"/>
    <w:rsid w:val="00447DD6"/>
    <w:rsid w:val="00454751"/>
    <w:rsid w:val="004609DE"/>
    <w:rsid w:val="00462CAA"/>
    <w:rsid w:val="00463B74"/>
    <w:rsid w:val="004650DC"/>
    <w:rsid w:val="004674DA"/>
    <w:rsid w:val="004821A1"/>
    <w:rsid w:val="00482834"/>
    <w:rsid w:val="00482958"/>
    <w:rsid w:val="004910CC"/>
    <w:rsid w:val="004A2677"/>
    <w:rsid w:val="004A2C97"/>
    <w:rsid w:val="004A56A2"/>
    <w:rsid w:val="004A7B0C"/>
    <w:rsid w:val="004B0AF6"/>
    <w:rsid w:val="004B2718"/>
    <w:rsid w:val="004B5BAF"/>
    <w:rsid w:val="004C55A2"/>
    <w:rsid w:val="004C67CC"/>
    <w:rsid w:val="004D4739"/>
    <w:rsid w:val="004D5EF8"/>
    <w:rsid w:val="004E6E54"/>
    <w:rsid w:val="004E790B"/>
    <w:rsid w:val="004F59EB"/>
    <w:rsid w:val="00501A90"/>
    <w:rsid w:val="00510DC5"/>
    <w:rsid w:val="00511106"/>
    <w:rsid w:val="00520057"/>
    <w:rsid w:val="005311F2"/>
    <w:rsid w:val="005427F3"/>
    <w:rsid w:val="00546215"/>
    <w:rsid w:val="005502EC"/>
    <w:rsid w:val="00555DD4"/>
    <w:rsid w:val="00560AAC"/>
    <w:rsid w:val="00562EBC"/>
    <w:rsid w:val="00571A42"/>
    <w:rsid w:val="00571EF3"/>
    <w:rsid w:val="00581988"/>
    <w:rsid w:val="00584694"/>
    <w:rsid w:val="005904B5"/>
    <w:rsid w:val="00592948"/>
    <w:rsid w:val="00596373"/>
    <w:rsid w:val="005B0B7C"/>
    <w:rsid w:val="005B3555"/>
    <w:rsid w:val="005B3DFB"/>
    <w:rsid w:val="005C068B"/>
    <w:rsid w:val="005C2952"/>
    <w:rsid w:val="005C6700"/>
    <w:rsid w:val="005C7324"/>
    <w:rsid w:val="005D1FD5"/>
    <w:rsid w:val="005D486A"/>
    <w:rsid w:val="005D5185"/>
    <w:rsid w:val="005E122C"/>
    <w:rsid w:val="005E3D4D"/>
    <w:rsid w:val="005E7E4E"/>
    <w:rsid w:val="005F0A60"/>
    <w:rsid w:val="005F1B1C"/>
    <w:rsid w:val="005F3DAF"/>
    <w:rsid w:val="00605A74"/>
    <w:rsid w:val="00613582"/>
    <w:rsid w:val="006206FE"/>
    <w:rsid w:val="0062625C"/>
    <w:rsid w:val="00632FC7"/>
    <w:rsid w:val="0063546C"/>
    <w:rsid w:val="00644190"/>
    <w:rsid w:val="00661FBD"/>
    <w:rsid w:val="006640E6"/>
    <w:rsid w:val="0067075F"/>
    <w:rsid w:val="00670CBC"/>
    <w:rsid w:val="0067558D"/>
    <w:rsid w:val="006800C3"/>
    <w:rsid w:val="00685EB3"/>
    <w:rsid w:val="00687474"/>
    <w:rsid w:val="0068756D"/>
    <w:rsid w:val="00695D1F"/>
    <w:rsid w:val="00696DD3"/>
    <w:rsid w:val="006A1EE8"/>
    <w:rsid w:val="006A2026"/>
    <w:rsid w:val="006A41AB"/>
    <w:rsid w:val="006B4074"/>
    <w:rsid w:val="006C77C6"/>
    <w:rsid w:val="006D267D"/>
    <w:rsid w:val="006D3004"/>
    <w:rsid w:val="006D39DB"/>
    <w:rsid w:val="006E2B55"/>
    <w:rsid w:val="006E2C6A"/>
    <w:rsid w:val="006E3BCE"/>
    <w:rsid w:val="006E41B0"/>
    <w:rsid w:val="006F0989"/>
    <w:rsid w:val="006F448D"/>
    <w:rsid w:val="006F7772"/>
    <w:rsid w:val="00701B34"/>
    <w:rsid w:val="007108B7"/>
    <w:rsid w:val="007125C9"/>
    <w:rsid w:val="00713F35"/>
    <w:rsid w:val="00722F1E"/>
    <w:rsid w:val="007241B9"/>
    <w:rsid w:val="00725972"/>
    <w:rsid w:val="00731980"/>
    <w:rsid w:val="00731E72"/>
    <w:rsid w:val="00732130"/>
    <w:rsid w:val="0074455A"/>
    <w:rsid w:val="00747748"/>
    <w:rsid w:val="00765C2A"/>
    <w:rsid w:val="00766272"/>
    <w:rsid w:val="00776DDE"/>
    <w:rsid w:val="0077714E"/>
    <w:rsid w:val="00781C68"/>
    <w:rsid w:val="00785F5B"/>
    <w:rsid w:val="00792C23"/>
    <w:rsid w:val="007C1AA1"/>
    <w:rsid w:val="007C264C"/>
    <w:rsid w:val="007D0028"/>
    <w:rsid w:val="007D129D"/>
    <w:rsid w:val="007D23F0"/>
    <w:rsid w:val="007D3A9D"/>
    <w:rsid w:val="007D70A3"/>
    <w:rsid w:val="007E7743"/>
    <w:rsid w:val="00802282"/>
    <w:rsid w:val="0080433C"/>
    <w:rsid w:val="00814DD6"/>
    <w:rsid w:val="008316F8"/>
    <w:rsid w:val="0083298C"/>
    <w:rsid w:val="00845793"/>
    <w:rsid w:val="008508BF"/>
    <w:rsid w:val="00851007"/>
    <w:rsid w:val="00851541"/>
    <w:rsid w:val="00855DFC"/>
    <w:rsid w:val="00862D89"/>
    <w:rsid w:val="008637FD"/>
    <w:rsid w:val="00865E9E"/>
    <w:rsid w:val="00871370"/>
    <w:rsid w:val="008717A3"/>
    <w:rsid w:val="00873170"/>
    <w:rsid w:val="008776AF"/>
    <w:rsid w:val="008779B6"/>
    <w:rsid w:val="00885D5C"/>
    <w:rsid w:val="00897B66"/>
    <w:rsid w:val="008A1AFB"/>
    <w:rsid w:val="008A3E41"/>
    <w:rsid w:val="008A73AA"/>
    <w:rsid w:val="008C0BA7"/>
    <w:rsid w:val="008C165C"/>
    <w:rsid w:val="008D612F"/>
    <w:rsid w:val="008E47BD"/>
    <w:rsid w:val="008E75C1"/>
    <w:rsid w:val="008F1C9D"/>
    <w:rsid w:val="008F2EFA"/>
    <w:rsid w:val="008F734D"/>
    <w:rsid w:val="0091143D"/>
    <w:rsid w:val="0091729B"/>
    <w:rsid w:val="00921393"/>
    <w:rsid w:val="0093784C"/>
    <w:rsid w:val="009401B9"/>
    <w:rsid w:val="00942075"/>
    <w:rsid w:val="00943486"/>
    <w:rsid w:val="00947241"/>
    <w:rsid w:val="00954EDD"/>
    <w:rsid w:val="00956768"/>
    <w:rsid w:val="00975CD0"/>
    <w:rsid w:val="0098205C"/>
    <w:rsid w:val="00982D02"/>
    <w:rsid w:val="00983D5D"/>
    <w:rsid w:val="00995D4E"/>
    <w:rsid w:val="00996F48"/>
    <w:rsid w:val="009A30E5"/>
    <w:rsid w:val="009A4EA6"/>
    <w:rsid w:val="009A5EB7"/>
    <w:rsid w:val="009C18E2"/>
    <w:rsid w:val="009C4D7B"/>
    <w:rsid w:val="009C6FB0"/>
    <w:rsid w:val="009F091A"/>
    <w:rsid w:val="00A01C17"/>
    <w:rsid w:val="00A05770"/>
    <w:rsid w:val="00A1044F"/>
    <w:rsid w:val="00A13DEB"/>
    <w:rsid w:val="00A16105"/>
    <w:rsid w:val="00A21467"/>
    <w:rsid w:val="00A24F0B"/>
    <w:rsid w:val="00A26084"/>
    <w:rsid w:val="00A4016E"/>
    <w:rsid w:val="00A42E0C"/>
    <w:rsid w:val="00A445FB"/>
    <w:rsid w:val="00A44E3D"/>
    <w:rsid w:val="00A44FF8"/>
    <w:rsid w:val="00A538EA"/>
    <w:rsid w:val="00A55C19"/>
    <w:rsid w:val="00A65B22"/>
    <w:rsid w:val="00A736E5"/>
    <w:rsid w:val="00A77679"/>
    <w:rsid w:val="00A851B0"/>
    <w:rsid w:val="00AA3E8F"/>
    <w:rsid w:val="00AA6895"/>
    <w:rsid w:val="00AB4ABA"/>
    <w:rsid w:val="00AC7FA7"/>
    <w:rsid w:val="00AD329A"/>
    <w:rsid w:val="00AD47C9"/>
    <w:rsid w:val="00AD74A0"/>
    <w:rsid w:val="00AE454D"/>
    <w:rsid w:val="00B00FB0"/>
    <w:rsid w:val="00B15C34"/>
    <w:rsid w:val="00B227EC"/>
    <w:rsid w:val="00B235CB"/>
    <w:rsid w:val="00B2364F"/>
    <w:rsid w:val="00B25CD7"/>
    <w:rsid w:val="00B271EF"/>
    <w:rsid w:val="00B32466"/>
    <w:rsid w:val="00B36E17"/>
    <w:rsid w:val="00B37271"/>
    <w:rsid w:val="00B455E7"/>
    <w:rsid w:val="00B53031"/>
    <w:rsid w:val="00B572A6"/>
    <w:rsid w:val="00B574AB"/>
    <w:rsid w:val="00B65805"/>
    <w:rsid w:val="00B664E0"/>
    <w:rsid w:val="00B66A76"/>
    <w:rsid w:val="00B76893"/>
    <w:rsid w:val="00B77C17"/>
    <w:rsid w:val="00B84B19"/>
    <w:rsid w:val="00B91D8C"/>
    <w:rsid w:val="00B93B90"/>
    <w:rsid w:val="00B95E3A"/>
    <w:rsid w:val="00B965CE"/>
    <w:rsid w:val="00B96FDD"/>
    <w:rsid w:val="00BA4913"/>
    <w:rsid w:val="00BB1336"/>
    <w:rsid w:val="00BB51FF"/>
    <w:rsid w:val="00BB6131"/>
    <w:rsid w:val="00BB7C13"/>
    <w:rsid w:val="00BD0BAC"/>
    <w:rsid w:val="00BD13F0"/>
    <w:rsid w:val="00BD5D56"/>
    <w:rsid w:val="00BE5B38"/>
    <w:rsid w:val="00BF568B"/>
    <w:rsid w:val="00BF5BE4"/>
    <w:rsid w:val="00BF7B0D"/>
    <w:rsid w:val="00C013F3"/>
    <w:rsid w:val="00C14AA4"/>
    <w:rsid w:val="00C330EC"/>
    <w:rsid w:val="00C34FD3"/>
    <w:rsid w:val="00C3665C"/>
    <w:rsid w:val="00C37F0B"/>
    <w:rsid w:val="00C43F63"/>
    <w:rsid w:val="00C44051"/>
    <w:rsid w:val="00C44263"/>
    <w:rsid w:val="00C47083"/>
    <w:rsid w:val="00C56EA6"/>
    <w:rsid w:val="00C63B7C"/>
    <w:rsid w:val="00C6462A"/>
    <w:rsid w:val="00C64B2F"/>
    <w:rsid w:val="00C71DB1"/>
    <w:rsid w:val="00C74807"/>
    <w:rsid w:val="00C802B6"/>
    <w:rsid w:val="00C81AE7"/>
    <w:rsid w:val="00C8740D"/>
    <w:rsid w:val="00C90159"/>
    <w:rsid w:val="00C9039C"/>
    <w:rsid w:val="00C91228"/>
    <w:rsid w:val="00C937E3"/>
    <w:rsid w:val="00CA073B"/>
    <w:rsid w:val="00CA15D1"/>
    <w:rsid w:val="00CB7F35"/>
    <w:rsid w:val="00CC56F6"/>
    <w:rsid w:val="00CC57EF"/>
    <w:rsid w:val="00CC68A4"/>
    <w:rsid w:val="00CD0515"/>
    <w:rsid w:val="00CD2F30"/>
    <w:rsid w:val="00CD731F"/>
    <w:rsid w:val="00CE09AB"/>
    <w:rsid w:val="00CF02E0"/>
    <w:rsid w:val="00CF7D5A"/>
    <w:rsid w:val="00D05CD6"/>
    <w:rsid w:val="00D1759B"/>
    <w:rsid w:val="00D2483D"/>
    <w:rsid w:val="00D2623A"/>
    <w:rsid w:val="00D2794F"/>
    <w:rsid w:val="00D412E8"/>
    <w:rsid w:val="00D576C7"/>
    <w:rsid w:val="00D579F9"/>
    <w:rsid w:val="00D6179D"/>
    <w:rsid w:val="00D73802"/>
    <w:rsid w:val="00D77470"/>
    <w:rsid w:val="00D779DA"/>
    <w:rsid w:val="00D816DE"/>
    <w:rsid w:val="00D841DD"/>
    <w:rsid w:val="00D855C2"/>
    <w:rsid w:val="00D8758B"/>
    <w:rsid w:val="00D92791"/>
    <w:rsid w:val="00D947B0"/>
    <w:rsid w:val="00D95414"/>
    <w:rsid w:val="00DA16D5"/>
    <w:rsid w:val="00DA30F9"/>
    <w:rsid w:val="00DA3CA2"/>
    <w:rsid w:val="00DA575B"/>
    <w:rsid w:val="00DB2E96"/>
    <w:rsid w:val="00DB7F49"/>
    <w:rsid w:val="00DC2315"/>
    <w:rsid w:val="00DC3809"/>
    <w:rsid w:val="00DC63DA"/>
    <w:rsid w:val="00DC6774"/>
    <w:rsid w:val="00DD1701"/>
    <w:rsid w:val="00DD52CE"/>
    <w:rsid w:val="00DD602F"/>
    <w:rsid w:val="00DD6F14"/>
    <w:rsid w:val="00DF0059"/>
    <w:rsid w:val="00DF72C6"/>
    <w:rsid w:val="00E069B8"/>
    <w:rsid w:val="00E1365D"/>
    <w:rsid w:val="00E1771D"/>
    <w:rsid w:val="00E230B5"/>
    <w:rsid w:val="00E30C19"/>
    <w:rsid w:val="00E51497"/>
    <w:rsid w:val="00E522F8"/>
    <w:rsid w:val="00E532CB"/>
    <w:rsid w:val="00E57317"/>
    <w:rsid w:val="00E64D12"/>
    <w:rsid w:val="00E755B2"/>
    <w:rsid w:val="00E776E2"/>
    <w:rsid w:val="00E7770E"/>
    <w:rsid w:val="00E8369F"/>
    <w:rsid w:val="00E84944"/>
    <w:rsid w:val="00E87B03"/>
    <w:rsid w:val="00E916E6"/>
    <w:rsid w:val="00E93A48"/>
    <w:rsid w:val="00EA488C"/>
    <w:rsid w:val="00EB0ECC"/>
    <w:rsid w:val="00EB0FA0"/>
    <w:rsid w:val="00EB126F"/>
    <w:rsid w:val="00EB203F"/>
    <w:rsid w:val="00EB20CF"/>
    <w:rsid w:val="00EB2DF4"/>
    <w:rsid w:val="00EB4C3C"/>
    <w:rsid w:val="00EC0B95"/>
    <w:rsid w:val="00EC16E4"/>
    <w:rsid w:val="00EC29B7"/>
    <w:rsid w:val="00EC3749"/>
    <w:rsid w:val="00ED7306"/>
    <w:rsid w:val="00ED7D3F"/>
    <w:rsid w:val="00EE5421"/>
    <w:rsid w:val="00EE5A50"/>
    <w:rsid w:val="00EF5A02"/>
    <w:rsid w:val="00EF777A"/>
    <w:rsid w:val="00F03121"/>
    <w:rsid w:val="00F05DC2"/>
    <w:rsid w:val="00F1014A"/>
    <w:rsid w:val="00F115B6"/>
    <w:rsid w:val="00F1296D"/>
    <w:rsid w:val="00F14BFE"/>
    <w:rsid w:val="00F20479"/>
    <w:rsid w:val="00F20D00"/>
    <w:rsid w:val="00F26534"/>
    <w:rsid w:val="00F26BB7"/>
    <w:rsid w:val="00F308CA"/>
    <w:rsid w:val="00F3161F"/>
    <w:rsid w:val="00F35F40"/>
    <w:rsid w:val="00F36E06"/>
    <w:rsid w:val="00F41033"/>
    <w:rsid w:val="00F41303"/>
    <w:rsid w:val="00F44C1B"/>
    <w:rsid w:val="00F528C5"/>
    <w:rsid w:val="00F6146B"/>
    <w:rsid w:val="00F62A16"/>
    <w:rsid w:val="00F64B11"/>
    <w:rsid w:val="00F6527C"/>
    <w:rsid w:val="00F665D2"/>
    <w:rsid w:val="00F67AAB"/>
    <w:rsid w:val="00F801E8"/>
    <w:rsid w:val="00F80262"/>
    <w:rsid w:val="00F82EFE"/>
    <w:rsid w:val="00F84EBD"/>
    <w:rsid w:val="00F85436"/>
    <w:rsid w:val="00F93513"/>
    <w:rsid w:val="00F951AA"/>
    <w:rsid w:val="00F96A83"/>
    <w:rsid w:val="00F97657"/>
    <w:rsid w:val="00FA0C12"/>
    <w:rsid w:val="00FA738A"/>
    <w:rsid w:val="00FA7C2C"/>
    <w:rsid w:val="00FB2978"/>
    <w:rsid w:val="00FB66D3"/>
    <w:rsid w:val="00FB750A"/>
    <w:rsid w:val="00FC12D7"/>
    <w:rsid w:val="00FD18E6"/>
    <w:rsid w:val="00FE695D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62FFA3D-A305-4FB0-9393-9006CDA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7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Title"/>
    <w:basedOn w:val="a"/>
    <w:link w:val="af0"/>
    <w:qFormat/>
    <w:rsid w:val="00B96F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B96F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8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D20F-C12F-4DCE-A240-4D659912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296</cp:revision>
  <cp:lastPrinted>2017-03-29T06:26:00Z</cp:lastPrinted>
  <dcterms:created xsi:type="dcterms:W3CDTF">2017-02-27T12:01:00Z</dcterms:created>
  <dcterms:modified xsi:type="dcterms:W3CDTF">2017-03-29T06:35:00Z</dcterms:modified>
</cp:coreProperties>
</file>