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3C78ED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75725627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3B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3B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созыва</w:t>
      </w:r>
      <w:r w:rsidR="00AB3B3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Вяртсильского городского поселения от 2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35A04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35A04">
        <w:rPr>
          <w:rFonts w:ascii="Times New Roman" w:hAnsi="Times New Roman" w:cs="Times New Roman"/>
          <w:b/>
          <w:sz w:val="28"/>
          <w:szCs w:val="28"/>
        </w:rPr>
        <w:t>97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7 и плановый период 2018 и 2019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135A0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33" w:rsidRDefault="000A3D0A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4DF3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614DF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№</w:t>
      </w:r>
      <w:r w:rsidR="00BB18E5">
        <w:rPr>
          <w:rFonts w:ascii="Times New Roman" w:hAnsi="Times New Roman" w:cs="Times New Roman"/>
          <w:b/>
          <w:sz w:val="28"/>
          <w:szCs w:val="28"/>
        </w:rPr>
        <w:t>69</w:t>
      </w:r>
    </w:p>
    <w:p w:rsidR="005B3DFB" w:rsidRPr="005B3DFB" w:rsidRDefault="005B3DFB" w:rsidP="00040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3B365F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Вяртсильского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135A04">
        <w:rPr>
          <w:rFonts w:ascii="Times New Roman" w:hAnsi="Times New Roman" w:cs="Times New Roman"/>
          <w:sz w:val="28"/>
          <w:szCs w:val="28"/>
        </w:rPr>
        <w:t>2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183CAA" w:rsidP="000408C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0148A">
        <w:rPr>
          <w:rFonts w:ascii="Times New Roman" w:hAnsi="Times New Roman" w:cs="Times New Roman"/>
          <w:b/>
          <w:sz w:val="28"/>
          <w:szCs w:val="28"/>
        </w:rPr>
        <w:t>экспертизы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85227D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1F45C8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Вяртсильского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408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Вяртсильского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05806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Вяртсильского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040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040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6E0E7B">
        <w:rPr>
          <w:rFonts w:ascii="Times New Roman" w:hAnsi="Times New Roman" w:cs="Times New Roman"/>
          <w:sz w:val="28"/>
          <w:szCs w:val="28"/>
        </w:rPr>
        <w:t>Вяртсильского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05806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Вяртсильского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E0148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5;</w:t>
      </w:r>
      <w:r w:rsidR="000A3D0A">
        <w:rPr>
          <w:rFonts w:ascii="Times New Roman" w:hAnsi="Times New Roman" w:cs="Times New Roman"/>
          <w:sz w:val="28"/>
          <w:szCs w:val="28"/>
        </w:rPr>
        <w:t>7;</w:t>
      </w:r>
      <w:r w:rsidR="00A550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501A8">
        <w:rPr>
          <w:rFonts w:ascii="Times New Roman" w:hAnsi="Times New Roman" w:cs="Times New Roman"/>
          <w:sz w:val="28"/>
          <w:szCs w:val="28"/>
        </w:rPr>
        <w:t>25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D501A8">
        <w:rPr>
          <w:rFonts w:ascii="Times New Roman" w:hAnsi="Times New Roman" w:cs="Times New Roman"/>
          <w:sz w:val="28"/>
          <w:szCs w:val="28"/>
        </w:rPr>
        <w:t>декабря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040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Вяртсильского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53255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Вяртсильского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985A13">
        <w:rPr>
          <w:rFonts w:ascii="Times New Roman" w:hAnsi="Times New Roman" w:cs="Times New Roman"/>
          <w:sz w:val="28"/>
          <w:szCs w:val="28"/>
        </w:rPr>
        <w:t>2</w:t>
      </w:r>
      <w:r w:rsidR="000A3D0A">
        <w:rPr>
          <w:rFonts w:ascii="Times New Roman" w:hAnsi="Times New Roman" w:cs="Times New Roman"/>
          <w:sz w:val="28"/>
          <w:szCs w:val="28"/>
        </w:rPr>
        <w:t xml:space="preserve"> раз</w:t>
      </w:r>
      <w:r w:rsidR="0098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040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985A13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677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667734">
        <w:rPr>
          <w:rFonts w:ascii="Times New Roman" w:hAnsi="Times New Roman" w:cs="Times New Roman"/>
          <w:sz w:val="28"/>
          <w:szCs w:val="28"/>
        </w:rPr>
        <w:t>6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667734">
        <w:rPr>
          <w:rFonts w:ascii="Times New Roman" w:hAnsi="Times New Roman" w:cs="Times New Roman"/>
          <w:sz w:val="28"/>
          <w:szCs w:val="28"/>
        </w:rPr>
        <w:t>9</w:t>
      </w:r>
      <w:r w:rsidR="00753255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>О бюджете Вяртсильского городского поселения на 201</w:t>
      </w:r>
      <w:r w:rsidR="00667734">
        <w:rPr>
          <w:rFonts w:ascii="Times New Roman" w:hAnsi="Times New Roman" w:cs="Times New Roman"/>
          <w:sz w:val="28"/>
          <w:szCs w:val="28"/>
        </w:rPr>
        <w:t>7 и плановый период 2018 и 2019 годы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040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408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85A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6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A13">
        <w:rPr>
          <w:rFonts w:ascii="Times New Roman" w:eastAsia="Times New Roman" w:hAnsi="Times New Roman"/>
          <w:sz w:val="28"/>
          <w:szCs w:val="28"/>
          <w:lang w:eastAsia="ru-RU"/>
        </w:rPr>
        <w:t>982,0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увеличили доходную часть бюджета поселения на </w:t>
      </w:r>
      <w:r w:rsidR="00985A13">
        <w:rPr>
          <w:rFonts w:ascii="Times New Roman" w:eastAsia="Times New Roman" w:hAnsi="Times New Roman"/>
          <w:sz w:val="28"/>
          <w:szCs w:val="28"/>
          <w:lang w:eastAsia="ru-RU"/>
        </w:rPr>
        <w:t>4 343,6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985A13">
        <w:rPr>
          <w:rFonts w:ascii="Times New Roman" w:eastAsia="Times New Roman" w:hAnsi="Times New Roman"/>
          <w:sz w:val="28"/>
          <w:szCs w:val="28"/>
          <w:lang w:eastAsia="ru-RU"/>
        </w:rPr>
        <w:t>4 384,5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– в сумме </w:t>
      </w:r>
      <w:r w:rsidR="00985A13">
        <w:rPr>
          <w:rFonts w:ascii="Times New Roman" w:eastAsia="Times New Roman" w:hAnsi="Times New Roman"/>
          <w:sz w:val="28"/>
          <w:szCs w:val="28"/>
          <w:lang w:eastAsia="ru-RU"/>
        </w:rPr>
        <w:t>4 360,0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C61" w:rsidRDefault="00985A13" w:rsidP="00040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4 509,7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(ранее внесенные изменения увеличили расходную часть бюджета поселения на </w:t>
      </w:r>
      <w:r w:rsidR="00464216">
        <w:rPr>
          <w:rFonts w:ascii="Times New Roman" w:eastAsia="Times New Roman" w:hAnsi="Times New Roman"/>
          <w:sz w:val="28"/>
          <w:szCs w:val="28"/>
          <w:lang w:eastAsia="ru-RU"/>
        </w:rPr>
        <w:t>4 402,8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49D2" w:rsidRPr="00E749D2" w:rsidRDefault="008D5C20" w:rsidP="00040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386B5B">
        <w:rPr>
          <w:rFonts w:ascii="Times New Roman" w:hAnsi="Times New Roman" w:cs="Times New Roman"/>
          <w:sz w:val="28"/>
          <w:szCs w:val="28"/>
        </w:rPr>
        <w:t xml:space="preserve">снизился на 472,3 тыс. руб. </w:t>
      </w:r>
      <w:r w:rsidR="00386B5B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</w:t>
      </w:r>
      <w:r w:rsidR="00220E2B">
        <w:rPr>
          <w:rFonts w:ascii="Times New Roman" w:hAnsi="Times New Roman" w:cs="Times New Roman"/>
          <w:sz w:val="28"/>
          <w:szCs w:val="28"/>
        </w:rPr>
        <w:t>увеличивали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59,2 тыс. руб.</w:t>
      </w:r>
      <w:r w:rsidR="00386B5B">
        <w:rPr>
          <w:rFonts w:ascii="Times New Roman" w:hAnsi="Times New Roman" w:cs="Times New Roman"/>
          <w:sz w:val="28"/>
          <w:szCs w:val="28"/>
        </w:rPr>
        <w:t>)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C1D" w:rsidRDefault="00E749D2" w:rsidP="00040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долга бюджета поселения в валюте РФ и по муниципальным гарантиям в валюте РФ</w:t>
      </w:r>
      <w:r w:rsidR="008D5C20"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862AF1">
        <w:rPr>
          <w:rFonts w:ascii="Times New Roman" w:hAnsi="Times New Roman" w:cs="Times New Roman"/>
          <w:sz w:val="28"/>
          <w:szCs w:val="28"/>
        </w:rPr>
        <w:t>остался без изменений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0D4685" w:rsidP="00040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2018 и 2019 годы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85" w:rsidRDefault="000D4685" w:rsidP="00E0148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Default="00AB5329" w:rsidP="00026C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E11E99" w:rsidRPr="00853B79" w:rsidRDefault="00E11E99" w:rsidP="00026C9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6C1" w:rsidRPr="00853B79" w:rsidRDefault="008566C1" w:rsidP="008566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14 217,5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4 982,0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больше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увеличение доходной части бюджета на 638,4 тыс. руб. по сравнению с уточненным ранее бюджетом поселения.</w:t>
      </w:r>
    </w:p>
    <w:p w:rsidR="003C0F10" w:rsidRDefault="003C0F10" w:rsidP="000408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026C92" w:rsidRDefault="00026C92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C0F10" w:rsidRPr="008566C1" w:rsidRDefault="00026C92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3C0F10" w:rsidRPr="00856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56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C0F10" w:rsidRPr="00856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4560"/>
        <w:gridCol w:w="1842"/>
        <w:gridCol w:w="1276"/>
        <w:gridCol w:w="1383"/>
      </w:tblGrid>
      <w:tr w:rsidR="003C0F10" w:rsidRPr="00C3203A" w:rsidTr="00CA327A">
        <w:tc>
          <w:tcPr>
            <w:tcW w:w="510" w:type="dxa"/>
            <w:vMerge w:val="restart"/>
          </w:tcPr>
          <w:p w:rsidR="003C0F10" w:rsidRPr="00C3203A" w:rsidRDefault="003C0F10" w:rsidP="00CC6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vMerge w:val="restart"/>
          </w:tcPr>
          <w:p w:rsidR="003C0F10" w:rsidRPr="00C3203A" w:rsidRDefault="003C0F10" w:rsidP="00CC6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</w:tcPr>
          <w:p w:rsidR="003C0F10" w:rsidRPr="00C3203A" w:rsidRDefault="003C0F10" w:rsidP="00667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</w:t>
            </w:r>
            <w:r w:rsidR="00667734" w:rsidRPr="00C3203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C320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383" w:type="dxa"/>
            <w:vMerge w:val="restart"/>
          </w:tcPr>
          <w:p w:rsidR="003C0F10" w:rsidRPr="00C3203A" w:rsidRDefault="003C0F10" w:rsidP="00CC6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3C0F10" w:rsidRPr="00C3203A" w:rsidTr="00CA327A">
        <w:tc>
          <w:tcPr>
            <w:tcW w:w="510" w:type="dxa"/>
            <w:vMerge/>
          </w:tcPr>
          <w:p w:rsidR="003C0F10" w:rsidRPr="00C3203A" w:rsidRDefault="003C0F10" w:rsidP="00CC647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vMerge/>
          </w:tcPr>
          <w:p w:rsidR="003C0F10" w:rsidRPr="00C3203A" w:rsidRDefault="003C0F10" w:rsidP="00CC647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C0F10" w:rsidRPr="00C3203A" w:rsidRDefault="003C459A" w:rsidP="00CC6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 с учетом последующих изменений</w:t>
            </w:r>
          </w:p>
        </w:tc>
        <w:tc>
          <w:tcPr>
            <w:tcW w:w="1276" w:type="dxa"/>
          </w:tcPr>
          <w:p w:rsidR="003C0F10" w:rsidRPr="00C3203A" w:rsidRDefault="003C459A" w:rsidP="00CC6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383" w:type="dxa"/>
            <w:vMerge/>
          </w:tcPr>
          <w:p w:rsidR="003C0F10" w:rsidRPr="00C3203A" w:rsidRDefault="003C0F10" w:rsidP="00CC64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5 570,0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5 544,2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-25,8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656,0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868,0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+212,0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физ.лиц,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1383" w:type="dxa"/>
            <w:vAlign w:val="center"/>
          </w:tcPr>
          <w:p w:rsidR="00C3203A" w:rsidRPr="00C3203A" w:rsidRDefault="00E11E99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C3203A" w:rsidRPr="00C3203A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730,9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+130,9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928,4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928,4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320,4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440,2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+119,8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377,8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514,8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+137,0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+6,1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164,8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+164,8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5B0492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6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03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всего</w:t>
            </w:r>
          </w:p>
        </w:tc>
        <w:tc>
          <w:tcPr>
            <w:tcW w:w="1842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5 710,1</w:t>
            </w:r>
          </w:p>
        </w:tc>
        <w:tc>
          <w:tcPr>
            <w:tcW w:w="1276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5 734,6</w:t>
            </w:r>
          </w:p>
        </w:tc>
        <w:tc>
          <w:tcPr>
            <w:tcW w:w="1383" w:type="dxa"/>
            <w:vAlign w:val="center"/>
          </w:tcPr>
          <w:p w:rsidR="00C3203A" w:rsidRPr="00C3203A" w:rsidRDefault="00C3203A" w:rsidP="00C320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03A">
              <w:rPr>
                <w:rFonts w:ascii="Times New Roman" w:hAnsi="Times New Roman" w:cs="Times New Roman"/>
                <w:color w:val="000000"/>
              </w:rPr>
              <w:t>+24,5</w:t>
            </w:r>
          </w:p>
        </w:tc>
      </w:tr>
      <w:tr w:rsidR="00C3203A" w:rsidRPr="00C3203A" w:rsidTr="00CA327A">
        <w:tc>
          <w:tcPr>
            <w:tcW w:w="510" w:type="dxa"/>
          </w:tcPr>
          <w:p w:rsidR="00C3203A" w:rsidRPr="00C3203A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</w:tcPr>
          <w:p w:rsidR="00C3203A" w:rsidRPr="005B0492" w:rsidRDefault="00C3203A" w:rsidP="00C3203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492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C3203A" w:rsidRPr="005B0492" w:rsidRDefault="00C3203A" w:rsidP="00C3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492">
              <w:rPr>
                <w:rFonts w:ascii="Times New Roman" w:hAnsi="Times New Roman" w:cs="Times New Roman"/>
                <w:b/>
                <w:bCs/>
                <w:color w:val="000000"/>
              </w:rPr>
              <w:t>13 579,1</w:t>
            </w:r>
          </w:p>
        </w:tc>
        <w:tc>
          <w:tcPr>
            <w:tcW w:w="1276" w:type="dxa"/>
            <w:vAlign w:val="center"/>
          </w:tcPr>
          <w:p w:rsidR="00C3203A" w:rsidRPr="005B0492" w:rsidRDefault="00C3203A" w:rsidP="00C320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492">
              <w:rPr>
                <w:rFonts w:ascii="Times New Roman" w:hAnsi="Times New Roman" w:cs="Times New Roman"/>
                <w:b/>
                <w:bCs/>
                <w:color w:val="000000"/>
              </w:rPr>
              <w:t>14 217,5</w:t>
            </w:r>
          </w:p>
        </w:tc>
        <w:tc>
          <w:tcPr>
            <w:tcW w:w="1383" w:type="dxa"/>
            <w:vAlign w:val="center"/>
          </w:tcPr>
          <w:p w:rsidR="00C3203A" w:rsidRPr="005B0492" w:rsidRDefault="00C3203A" w:rsidP="00C320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492">
              <w:rPr>
                <w:rFonts w:ascii="Times New Roman" w:hAnsi="Times New Roman" w:cs="Times New Roman"/>
                <w:b/>
                <w:color w:val="000000"/>
              </w:rPr>
              <w:t>+638,4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Default="00AC1142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3B80" w:rsidRPr="00E314C3" w:rsidRDefault="00293B80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14C3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3AC8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</w:t>
      </w:r>
      <w:r w:rsidR="00E314C3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AC8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</w:t>
      </w:r>
      <w:r w:rsidR="00DF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E314C3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4C3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81,1</w:t>
      </w:r>
      <w:r w:rsidR="00EC0A69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E314C3" w:rsidRPr="00E314C3" w:rsidRDefault="00E314C3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-земельного налога на 130,9 тыс. руб.;</w:t>
      </w:r>
    </w:p>
    <w:p w:rsidR="00E314C3" w:rsidRPr="00E314C3" w:rsidRDefault="00E314C3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-доходов, получаемых в виде арендной платы за земельные участки, государственная собственность на которые не разграничена на 119,8 тыс. руб.</w:t>
      </w:r>
      <w:r w:rsidR="00DF61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4C3" w:rsidRPr="00E314C3" w:rsidRDefault="00E314C3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-доходов от использования имущества на 137,0 тыс. руб.</w:t>
      </w:r>
      <w:r w:rsidR="00DF61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870" w:rsidRDefault="00E314C3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62ED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D37870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C0A69" w:rsidRPr="00E31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4C3" w:rsidRDefault="00E314C3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-прочих доходов от компенсации затрат бюджетов городских поселений на 164,8 тыс. руб. (возврат коммунальных затрат 2016 года КСАУ ВГП «Радуга» в связи с ликвидацией учреждения);</w:t>
      </w:r>
    </w:p>
    <w:p w:rsidR="00E314C3" w:rsidRDefault="00E314C3" w:rsidP="007537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-прочих безвозмездных поступлений в бюджеты городских поселений </w:t>
      </w:r>
      <w:r w:rsidR="00AF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и физических лиц</w:t>
      </w:r>
      <w:r w:rsidR="00427EA5" w:rsidRPr="0042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14,9 тыс. руб.</w:t>
      </w:r>
      <w:r w:rsidR="00AF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их фактическим поступлением в бюджет (помощь для проведени</w:t>
      </w:r>
      <w:r w:rsidR="009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мероприятий и реализации мероприятий по формированию современной городской среды);</w:t>
      </w:r>
    </w:p>
    <w:p w:rsidR="00EC0A69" w:rsidRDefault="00DE62ED" w:rsidP="007537EE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РК</w:t>
      </w:r>
      <w:r w:rsidR="00AF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первичного воинского учета на территориях, где отсутствуют военные комиссариаты на 9,6 тыс. руб. (на основании Распоряжения Правительства РК №699р-П от 11.12.2017г.)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A6E" w:rsidRDefault="00974A6E" w:rsidP="00974A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предлагается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прогнозных показателей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поселения, по сравнению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поступлений налога на доходы физических лиц</w:t>
      </w:r>
      <w:r w:rsidR="00DF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уточнением прогноза поступлений администратором данного источника доходов.</w:t>
      </w:r>
    </w:p>
    <w:p w:rsidR="008203EC" w:rsidRPr="00BE5B38" w:rsidRDefault="008203EC" w:rsidP="00820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ст.174.1 БК РФ доходы бюджета должны прогнозироваться на основе прогноза социально-экономического развития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предлагается изменения прогноза поступления по налоговым и неналоговым доходам,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предлагается и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экономических показателей прогноза социально-экономического развития </w:t>
      </w:r>
      <w:r w:rsidR="001E5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 городского поселения.</w:t>
      </w:r>
    </w:p>
    <w:p w:rsidR="002A5621" w:rsidRDefault="002A5621" w:rsidP="002B34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Default="00510DC5" w:rsidP="002B34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2A5621" w:rsidRPr="00853B79" w:rsidRDefault="002A5621" w:rsidP="002B34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D3DF0">
        <w:rPr>
          <w:rFonts w:ascii="Times New Roman" w:eastAsia="Times New Roman" w:hAnsi="Times New Roman" w:cs="Times New Roman"/>
          <w:sz w:val="28"/>
          <w:szCs w:val="28"/>
          <w:lang w:eastAsia="ru-RU"/>
        </w:rPr>
        <w:t>14 220,3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856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D3DF0">
        <w:rPr>
          <w:rFonts w:ascii="Times New Roman" w:eastAsia="Times New Roman" w:hAnsi="Times New Roman"/>
          <w:sz w:val="28"/>
          <w:szCs w:val="28"/>
          <w:lang w:eastAsia="ru-RU"/>
        </w:rPr>
        <w:t xml:space="preserve">4 509,7 </w:t>
      </w:r>
      <w:r w:rsidR="00E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больше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увеличение расходной части бюджета на </w:t>
      </w:r>
      <w:r w:rsidR="00ED3DF0">
        <w:rPr>
          <w:rFonts w:ascii="Times New Roman" w:eastAsia="Times New Roman" w:hAnsi="Times New Roman" w:cs="Times New Roman"/>
          <w:sz w:val="28"/>
          <w:szCs w:val="28"/>
          <w:lang w:eastAsia="ru-RU"/>
        </w:rPr>
        <w:t>106,8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уточненным ранее бюджетом поселения.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 в Таблице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Pr="00CC647F" w:rsidRDefault="00CC647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423673" w:rsidRPr="00C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7B0" w:rsidRPr="00C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10DC5" w:rsidRPr="00C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D947B0" w:rsidRPr="00CC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82"/>
        <w:gridCol w:w="2538"/>
        <w:gridCol w:w="2176"/>
        <w:gridCol w:w="2175"/>
      </w:tblGrid>
      <w:tr w:rsidR="0039601A" w:rsidRPr="00853B79" w:rsidTr="004829E6">
        <w:tc>
          <w:tcPr>
            <w:tcW w:w="1401" w:type="pct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99" w:type="pct"/>
            <w:gridSpan w:val="3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4829E6">
        <w:tc>
          <w:tcPr>
            <w:tcW w:w="1401" w:type="pct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5 391,7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5 428,6</w:t>
            </w:r>
          </w:p>
        </w:tc>
        <w:tc>
          <w:tcPr>
            <w:tcW w:w="1137" w:type="pct"/>
          </w:tcPr>
          <w:p w:rsidR="004829E6" w:rsidRPr="004829E6" w:rsidRDefault="00AE12FE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829E6"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1137" w:type="pct"/>
          </w:tcPr>
          <w:p w:rsidR="004829E6" w:rsidRPr="004829E6" w:rsidRDefault="00AE12FE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829E6"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2 131,5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2 164,6</w:t>
            </w:r>
          </w:p>
        </w:tc>
        <w:tc>
          <w:tcPr>
            <w:tcW w:w="1137" w:type="pct"/>
          </w:tcPr>
          <w:p w:rsidR="004829E6" w:rsidRPr="004829E6" w:rsidRDefault="00AE12FE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829E6"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5 923,1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5 950,3</w:t>
            </w:r>
          </w:p>
        </w:tc>
        <w:tc>
          <w:tcPr>
            <w:tcW w:w="1137" w:type="pct"/>
          </w:tcPr>
          <w:p w:rsidR="004829E6" w:rsidRPr="004829E6" w:rsidRDefault="00AE12FE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4829E6"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853B79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6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7" w:type="pct"/>
          </w:tcPr>
          <w:p w:rsidR="004829E6" w:rsidRPr="004829E6" w:rsidRDefault="004829E6" w:rsidP="00482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9E6" w:rsidRPr="00853B79" w:rsidTr="004829E6">
        <w:tc>
          <w:tcPr>
            <w:tcW w:w="1401" w:type="pct"/>
          </w:tcPr>
          <w:p w:rsidR="004829E6" w:rsidRPr="00AE12FE" w:rsidRDefault="004829E6" w:rsidP="004829E6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6" w:type="pct"/>
          </w:tcPr>
          <w:p w:rsidR="004829E6" w:rsidRPr="00AE12FE" w:rsidRDefault="004829E6" w:rsidP="00482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12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14 113,5</w:t>
            </w:r>
          </w:p>
        </w:tc>
        <w:tc>
          <w:tcPr>
            <w:tcW w:w="1137" w:type="pct"/>
          </w:tcPr>
          <w:p w:rsidR="004829E6" w:rsidRPr="00AE12FE" w:rsidRDefault="004829E6" w:rsidP="00482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12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14 220,3</w:t>
            </w:r>
          </w:p>
        </w:tc>
        <w:tc>
          <w:tcPr>
            <w:tcW w:w="1137" w:type="pct"/>
          </w:tcPr>
          <w:p w:rsidR="004829E6" w:rsidRPr="00AE12FE" w:rsidRDefault="00AE12FE" w:rsidP="00482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4829E6" w:rsidRPr="00AE12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106,8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B79" w:rsidRDefault="00510DC5" w:rsidP="000332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55028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B86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096E3D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внесенных изменений</w:t>
      </w:r>
      <w:r w:rsidR="00BD13F0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9201DE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66DC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673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5E66DC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423673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5E66DC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36,9</w:t>
      </w:r>
      <w:r w:rsidR="00423673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96E3D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разделу</w:t>
      </w:r>
      <w:r w:rsidR="005E66DC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0200 «Национальная оборона» на 9,6 тыс. руб., 0400 «Национальная экономика» на 33,1 тыс. руб., по разделу</w:t>
      </w:r>
      <w:r w:rsidR="00096E3D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0500 «Жилищно-коммунальное хозяйство» на сумму </w:t>
      </w:r>
      <w:r w:rsidR="005E66DC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="00096E3D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598" w:rsidRDefault="005427F3" w:rsidP="000332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5B4598" w:rsidRPr="005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</w:t>
      </w:r>
      <w:r w:rsidR="005B4598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0100 «Общегосударственные вопросы»</w:t>
      </w:r>
      <w:r w:rsidR="005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расходами на командировку главы поселения в г. Москва, на оплату услуг по выдаче разрешений на строительство, разрешение на ввод объектов в эксплуатацию, на содержание здания п. Вяртсиля, ул. Заводская, д.4,</w:t>
      </w:r>
      <w:r w:rsidR="005B4598" w:rsidRPr="005B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уплату транспортного налога и юридические услуги.</w:t>
      </w:r>
    </w:p>
    <w:p w:rsidR="00AB65E4" w:rsidRDefault="005B4598" w:rsidP="0003323F">
      <w:pPr>
        <w:widowControl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00 «Национальная оборона»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увеличением расходов </w:t>
      </w:r>
      <w:r w:rsidR="00AB65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заработную плату и взносы по обязательному социальному страхованию</w:t>
      </w:r>
      <w:r w:rsidR="00AB65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</w:t>
      </w:r>
      <w:r w:rsidR="00AB6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сируемых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городских поселений</w:t>
      </w:r>
      <w:r w:rsidR="00AB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первичного воинского учета на территориях, где отсутствуют военные комиссариаты на 9,6 тыс. руб. (на основании Распоряжения Правительства РК №699р-П от 11.12.2017г.) </w:t>
      </w:r>
    </w:p>
    <w:p w:rsidR="005B4598" w:rsidRDefault="00AB65E4" w:rsidP="000332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0400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</w:t>
      </w:r>
      <w:r w:rsidR="002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расходами на составление сметной документации по ремонту участка автомобильной дороги по ул. Мира, п. Вяртсиля. </w:t>
      </w:r>
    </w:p>
    <w:p w:rsidR="00AB65E4" w:rsidRDefault="00AB65E4" w:rsidP="000332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0500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</w:t>
      </w:r>
      <w:r w:rsidR="002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ремонт электропроводки в квартирах муниципального жилого фонда</w:t>
      </w:r>
      <w:r w:rsidR="00E87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</w:t>
      </w:r>
      <w:r w:rsidR="0051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строительно-технической экспертизы объектов муниципального жилого фонда</w:t>
      </w:r>
      <w:r w:rsidR="008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856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81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вывозу мусора, на услуги по техническому надзору по благоустройству территорий в рамках реализации мероприятий муниципальной программы «Современная городская среда»</w:t>
      </w:r>
      <w:r w:rsidR="00750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54D" w:rsidRDefault="003C654D" w:rsidP="000332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>Контрольно-счетный комитет СМР обращае</w:t>
      </w:r>
      <w:r>
        <w:rPr>
          <w:rFonts w:ascii="Times New Roman" w:hAnsi="Times New Roman" w:cs="Times New Roman"/>
          <w:sz w:val="28"/>
          <w:szCs w:val="28"/>
        </w:rPr>
        <w:t>т внимание, что цель экспертизы -</w:t>
      </w:r>
      <w:r w:rsidRPr="00E83EBE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городского поселения. На экспертизу не представлены финансово-экономические обоснования по вновь принимаемым обязательствам по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F306E1">
        <w:rPr>
          <w:rFonts w:ascii="Times New Roman" w:eastAsia="Times New Roman" w:hAnsi="Times New Roman"/>
          <w:sz w:val="28"/>
          <w:szCs w:val="28"/>
          <w:lang w:eastAsia="ru-RU"/>
        </w:rPr>
        <w:t>ам: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«Общегосударственные вопросы»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54D" w:rsidRPr="0014578D" w:rsidRDefault="003C654D" w:rsidP="000332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8D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ст.184.2 БК РФ к проекту Решения не приложен проект изменений в паспорт муниципальной программы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>Вяртсильского</w:t>
      </w:r>
      <w:r w:rsidRPr="0014578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57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4578D">
        <w:rPr>
          <w:rFonts w:ascii="Times New Roman" w:hAnsi="Times New Roman" w:cs="Times New Roman"/>
          <w:sz w:val="28"/>
          <w:szCs w:val="28"/>
        </w:rPr>
        <w:t>на 2017 год» в связи с увеличением объема финансирования ранее запланированных мероприятий.</w:t>
      </w:r>
    </w:p>
    <w:p w:rsidR="00AB3188" w:rsidRPr="00AB3188" w:rsidRDefault="00AB3188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>/профицит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 городского поселения</w:t>
      </w:r>
      <w:r w:rsidR="0003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475,1</w:t>
      </w:r>
      <w:r w:rsidR="008566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03323F" w:rsidRPr="00033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323F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внесенные изменения </w:t>
      </w:r>
      <w:r w:rsidR="0003323F">
        <w:rPr>
          <w:rFonts w:ascii="Times New Roman" w:hAnsi="Times New Roman" w:cs="Times New Roman"/>
          <w:sz w:val="28"/>
          <w:szCs w:val="28"/>
        </w:rPr>
        <w:t>увеличивали размер дефицита по сравнению с утвержденным на 59,2 тыс. руб.).</w:t>
      </w:r>
    </w:p>
    <w:p w:rsidR="007F3FC6" w:rsidRPr="00B83B9C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Решения дефицит бюджета </w:t>
      </w:r>
      <w:r w:rsidR="00033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на 540,5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руб., и состави</w:t>
      </w:r>
      <w:r w:rsidR="000332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2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2,8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03323F" w:rsidRPr="007C60EE" w:rsidRDefault="007F3FC6" w:rsidP="000332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</w:t>
      </w:r>
      <w:r w:rsidR="008566C1">
        <w:rPr>
          <w:rFonts w:ascii="Times New Roman" w:hAnsi="Times New Roman" w:cs="Times New Roman"/>
          <w:sz w:val="28"/>
          <w:szCs w:val="28"/>
        </w:rPr>
        <w:t xml:space="preserve"> бюджета не должен превышать 10</w:t>
      </w:r>
      <w:r w:rsidRPr="00B83B9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03323F" w:rsidRPr="0003323F">
        <w:rPr>
          <w:rFonts w:ascii="Times New Roman" w:hAnsi="Times New Roman" w:cs="Times New Roman"/>
          <w:sz w:val="28"/>
          <w:szCs w:val="28"/>
        </w:rPr>
        <w:t xml:space="preserve"> </w:t>
      </w:r>
      <w:r w:rsidR="0003323F">
        <w:rPr>
          <w:rFonts w:ascii="Times New Roman" w:hAnsi="Times New Roman" w:cs="Times New Roman"/>
          <w:sz w:val="28"/>
          <w:szCs w:val="28"/>
        </w:rPr>
        <w:t>Д</w:t>
      </w:r>
      <w:r w:rsidR="0003323F" w:rsidRPr="007C60EE">
        <w:rPr>
          <w:rFonts w:ascii="Times New Roman" w:hAnsi="Times New Roman" w:cs="Times New Roman"/>
          <w:sz w:val="28"/>
          <w:szCs w:val="28"/>
        </w:rPr>
        <w:t xml:space="preserve">ефицит бюджета поселения </w:t>
      </w:r>
      <w:r w:rsidR="0003323F">
        <w:rPr>
          <w:rFonts w:ascii="Times New Roman" w:hAnsi="Times New Roman" w:cs="Times New Roman"/>
          <w:sz w:val="28"/>
          <w:szCs w:val="28"/>
        </w:rPr>
        <w:t xml:space="preserve">в сумме 2,8 тыс. руб. не </w:t>
      </w:r>
      <w:r w:rsidR="0003323F" w:rsidRPr="007C60EE">
        <w:rPr>
          <w:rFonts w:ascii="Times New Roman" w:hAnsi="Times New Roman" w:cs="Times New Roman"/>
          <w:sz w:val="28"/>
          <w:szCs w:val="28"/>
        </w:rPr>
        <w:t>превы</w:t>
      </w:r>
      <w:r w:rsidR="0003323F">
        <w:rPr>
          <w:rFonts w:ascii="Times New Roman" w:hAnsi="Times New Roman" w:cs="Times New Roman"/>
          <w:sz w:val="28"/>
          <w:szCs w:val="28"/>
        </w:rPr>
        <w:t>шает</w:t>
      </w:r>
      <w:r w:rsidR="0003323F" w:rsidRPr="007C60EE">
        <w:rPr>
          <w:rFonts w:ascii="Times New Roman" w:hAnsi="Times New Roman" w:cs="Times New Roman"/>
          <w:sz w:val="28"/>
          <w:szCs w:val="28"/>
        </w:rPr>
        <w:t xml:space="preserve"> ограничение, установленное абзацем первым п. 3 ст. 92.1 БК РФ </w:t>
      </w: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7F3FC6" w:rsidRPr="0003323F" w:rsidRDefault="0003323F" w:rsidP="007F3FC6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323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F3FC6" w:rsidRPr="0003323F">
        <w:rPr>
          <w:rFonts w:ascii="Times New Roman" w:hAnsi="Times New Roman" w:cs="Times New Roman"/>
          <w:b/>
          <w:sz w:val="24"/>
          <w:szCs w:val="24"/>
        </w:rPr>
        <w:t>3</w:t>
      </w:r>
      <w:r w:rsidRPr="00033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3FC6" w:rsidRPr="0003323F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7F3FC6" w:rsidTr="00575C1A">
        <w:tc>
          <w:tcPr>
            <w:tcW w:w="4786" w:type="dxa"/>
          </w:tcPr>
          <w:p w:rsidR="007F3FC6" w:rsidRPr="00401EFD" w:rsidRDefault="00401EFD" w:rsidP="00401E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E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F3FC6" w:rsidRPr="00401EFD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2552" w:type="dxa"/>
          </w:tcPr>
          <w:p w:rsidR="007F3FC6" w:rsidRPr="00401EFD" w:rsidRDefault="007F3FC6" w:rsidP="00CC64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EF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2233" w:type="dxa"/>
          </w:tcPr>
          <w:p w:rsidR="007F3FC6" w:rsidRPr="00401EFD" w:rsidRDefault="007F3FC6" w:rsidP="00CC647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7F3FC6" w:rsidTr="00575C1A">
        <w:tc>
          <w:tcPr>
            <w:tcW w:w="4786" w:type="dxa"/>
          </w:tcPr>
          <w:p w:rsidR="007F3FC6" w:rsidRPr="00E655B1" w:rsidRDefault="007F3FC6" w:rsidP="007F3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552" w:type="dxa"/>
          </w:tcPr>
          <w:p w:rsidR="007F3FC6" w:rsidRPr="00E655B1" w:rsidRDefault="007F3FC6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9235,5</w:t>
            </w:r>
          </w:p>
        </w:tc>
        <w:tc>
          <w:tcPr>
            <w:tcW w:w="2233" w:type="dxa"/>
          </w:tcPr>
          <w:p w:rsidR="007F3FC6" w:rsidRPr="00E655B1" w:rsidRDefault="00DA110A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14217,5</w:t>
            </w:r>
          </w:p>
        </w:tc>
      </w:tr>
      <w:tr w:rsidR="007F3FC6" w:rsidTr="00575C1A">
        <w:tc>
          <w:tcPr>
            <w:tcW w:w="4786" w:type="dxa"/>
          </w:tcPr>
          <w:p w:rsidR="007F3FC6" w:rsidRPr="00E655B1" w:rsidRDefault="007F3FC6" w:rsidP="00CC6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1350,1</w:t>
            </w:r>
          </w:p>
        </w:tc>
        <w:tc>
          <w:tcPr>
            <w:tcW w:w="2233" w:type="dxa"/>
          </w:tcPr>
          <w:p w:rsidR="007F3FC6" w:rsidRDefault="00DA110A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5734,6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учета безвозмездных поступлений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7885,4</w:t>
            </w:r>
          </w:p>
        </w:tc>
        <w:tc>
          <w:tcPr>
            <w:tcW w:w="2233" w:type="dxa"/>
          </w:tcPr>
          <w:p w:rsidR="007F3FC6" w:rsidRDefault="00DA110A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8482,9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9710,6</w:t>
            </w:r>
          </w:p>
        </w:tc>
        <w:tc>
          <w:tcPr>
            <w:tcW w:w="2233" w:type="dxa"/>
          </w:tcPr>
          <w:p w:rsidR="007F3FC6" w:rsidRDefault="00DA110A" w:rsidP="00DB5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14220,3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CC6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475,1</w:t>
            </w:r>
          </w:p>
        </w:tc>
        <w:tc>
          <w:tcPr>
            <w:tcW w:w="2233" w:type="dxa"/>
          </w:tcPr>
          <w:p w:rsidR="007F3FC6" w:rsidRDefault="00DA110A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1A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доходов бюджета без учета безвозмездных поступлений, %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233" w:type="dxa"/>
          </w:tcPr>
          <w:p w:rsidR="007F3FC6" w:rsidRDefault="00DA110A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CC6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CC6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CC64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FC6" w:rsidTr="00575C1A">
        <w:tc>
          <w:tcPr>
            <w:tcW w:w="4786" w:type="dxa"/>
          </w:tcPr>
          <w:p w:rsidR="007F3FC6" w:rsidRDefault="007F3FC6" w:rsidP="001A62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бюджета</w:t>
            </w:r>
          </w:p>
        </w:tc>
        <w:tc>
          <w:tcPr>
            <w:tcW w:w="2552" w:type="dxa"/>
          </w:tcPr>
          <w:p w:rsidR="007F3FC6" w:rsidRDefault="00DB5243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475,1</w:t>
            </w:r>
          </w:p>
        </w:tc>
        <w:tc>
          <w:tcPr>
            <w:tcW w:w="2233" w:type="dxa"/>
          </w:tcPr>
          <w:p w:rsidR="007F3FC6" w:rsidRDefault="00DA110A" w:rsidP="00CC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B067A0" w:rsidRDefault="00B067A0" w:rsidP="00ED5A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C6" w:rsidRDefault="007F3FC6" w:rsidP="00ED5A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 w:rsidR="00DB52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ED5A01">
        <w:rPr>
          <w:rFonts w:ascii="Times New Roman" w:hAnsi="Times New Roman" w:cs="Times New Roman"/>
          <w:sz w:val="28"/>
          <w:szCs w:val="28"/>
        </w:rPr>
        <w:t>54</w:t>
      </w:r>
      <w:r w:rsidRPr="00AD16BF">
        <w:rPr>
          <w:rFonts w:ascii="Times New Roman" w:hAnsi="Times New Roman" w:cs="Times New Roman"/>
          <w:sz w:val="28"/>
          <w:szCs w:val="28"/>
        </w:rPr>
        <w:t xml:space="preserve">%, общий объем расходов местного бюджета </w:t>
      </w:r>
      <w:r w:rsidRPr="00AD16B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D5A01">
        <w:rPr>
          <w:rFonts w:ascii="Times New Roman" w:hAnsi="Times New Roman" w:cs="Times New Roman"/>
          <w:sz w:val="28"/>
          <w:szCs w:val="28"/>
        </w:rPr>
        <w:t>46</w:t>
      </w:r>
      <w:r w:rsidRPr="00AD16BF">
        <w:rPr>
          <w:rFonts w:ascii="Times New Roman" w:hAnsi="Times New Roman" w:cs="Times New Roman"/>
          <w:sz w:val="28"/>
          <w:szCs w:val="28"/>
        </w:rPr>
        <w:t xml:space="preserve">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ED5A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FC6" w:rsidRPr="001A6261" w:rsidRDefault="007F3FC6" w:rsidP="00ED5A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бюджета </w:t>
      </w:r>
      <w:r w:rsidR="00DB5243">
        <w:rPr>
          <w:rFonts w:ascii="Times New Roman" w:hAnsi="Times New Roman" w:cs="Times New Roman"/>
          <w:sz w:val="28"/>
          <w:szCs w:val="28"/>
        </w:rPr>
        <w:t>планируется использовани</w:t>
      </w:r>
      <w:r w:rsidR="00957DEC">
        <w:rPr>
          <w:rFonts w:ascii="Times New Roman" w:hAnsi="Times New Roman" w:cs="Times New Roman"/>
          <w:sz w:val="28"/>
          <w:szCs w:val="28"/>
        </w:rPr>
        <w:t xml:space="preserve">е </w:t>
      </w:r>
      <w:r w:rsidR="00DB5243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957DEC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957DEC" w:rsidRPr="001A6261">
        <w:rPr>
          <w:rFonts w:ascii="Times New Roman" w:hAnsi="Times New Roman" w:cs="Times New Roman"/>
          <w:sz w:val="28"/>
          <w:szCs w:val="28"/>
        </w:rPr>
        <w:t>на счете по учету средств</w:t>
      </w:r>
      <w:r w:rsidRPr="001A6261">
        <w:rPr>
          <w:rFonts w:ascii="Times New Roman" w:hAnsi="Times New Roman" w:cs="Times New Roman"/>
          <w:sz w:val="28"/>
          <w:szCs w:val="28"/>
        </w:rPr>
        <w:t>.</w:t>
      </w: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1A6261" w:rsidRPr="00315C62" w:rsidRDefault="001A6261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8D" w:rsidRPr="0032282F" w:rsidRDefault="00E02E8D" w:rsidP="00E02E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8" w:rsidRPr="0032282F" w:rsidRDefault="00901B78" w:rsidP="0090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экспертизу Приложениях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Default="00555DD4" w:rsidP="001A6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FF4083" w:rsidRPr="00A4499A" w:rsidRDefault="00FF4083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E5F" w:rsidRPr="001E52CF" w:rsidRDefault="00FB2978" w:rsidP="001E52CF">
      <w:pPr>
        <w:pStyle w:val="a3"/>
        <w:widowControl w:val="0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C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1E52CF">
        <w:rPr>
          <w:rFonts w:ascii="Arial" w:hAnsi="Arial" w:cs="Arial"/>
          <w:sz w:val="28"/>
          <w:szCs w:val="28"/>
        </w:rPr>
        <w:t xml:space="preserve"> </w:t>
      </w:r>
      <w:r w:rsidR="008532BE" w:rsidRPr="001E52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корректировкой прогнозируемого объема ввиду неточности прогноза, предоставленного администраторами доходов</w:t>
      </w:r>
      <w:r w:rsidR="00DD768B" w:rsidRPr="001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увеличением безвозмездных поступлений в бюджет Вяртсильского городского поселения </w:t>
      </w:r>
      <w:r w:rsidR="00FF4083" w:rsidRPr="001E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юридических и физических лиц и </w:t>
      </w:r>
      <w:r w:rsidR="00DD768B" w:rsidRPr="001E5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других уровней.</w:t>
      </w:r>
    </w:p>
    <w:p w:rsidR="00FB2978" w:rsidRPr="001E52CF" w:rsidRDefault="00FB2978" w:rsidP="001E52CF">
      <w:pPr>
        <w:pStyle w:val="a3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E52CF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r w:rsidR="003E55C4" w:rsidRPr="001E52CF">
        <w:rPr>
          <w:rFonts w:ascii="Times New Roman" w:hAnsi="Times New Roman" w:cs="Times New Roman"/>
          <w:sz w:val="28"/>
          <w:szCs w:val="28"/>
        </w:rPr>
        <w:t>Вяртсильского городского поселения</w:t>
      </w:r>
      <w:r w:rsidRPr="001E52CF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</w:t>
      </w:r>
      <w:r w:rsidR="00D46D05" w:rsidRPr="001E52CF">
        <w:rPr>
          <w:rFonts w:ascii="Times New Roman" w:hAnsi="Times New Roman" w:cs="Times New Roman"/>
          <w:sz w:val="28"/>
          <w:szCs w:val="28"/>
        </w:rPr>
        <w:t>м доходов, общий объем расходов и дефицит бюджета</w:t>
      </w:r>
      <w:r w:rsidRPr="001E52CF">
        <w:rPr>
          <w:rFonts w:ascii="Times New Roman" w:hAnsi="Times New Roman" w:cs="Times New Roman"/>
          <w:sz w:val="28"/>
          <w:szCs w:val="28"/>
        </w:rPr>
        <w:t>:</w:t>
      </w:r>
    </w:p>
    <w:p w:rsidR="00D46D05" w:rsidRPr="001E52CF" w:rsidRDefault="00D46D05" w:rsidP="001E52CF">
      <w:pPr>
        <w:pStyle w:val="a3"/>
        <w:widowControl w:val="0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E52CF">
        <w:rPr>
          <w:rFonts w:ascii="Times New Roman" w:hAnsi="Times New Roman" w:cs="Times New Roman"/>
          <w:sz w:val="28"/>
          <w:szCs w:val="28"/>
        </w:rPr>
        <w:t>-доходы бюджета</w:t>
      </w:r>
      <w:r w:rsidRPr="001E52CF">
        <w:rPr>
          <w:rFonts w:ascii="Arial" w:hAnsi="Arial" w:cs="Arial"/>
          <w:sz w:val="28"/>
          <w:szCs w:val="28"/>
        </w:rPr>
        <w:t xml:space="preserve"> </w:t>
      </w:r>
      <w:r w:rsidRPr="001E52CF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1E52C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4982,0 тыс. руб. (ранее внесенные изменения увеличили доходную часть бюджета поселения на 4 343,6 тыс. руб.), в том числе безвозмездные поступления увеличиваются по сравнению с утвержденным бюджетом на 4 384,5 тыс. руб. (ранее – в сумме 4 360,0 тыс. руб.). </w:t>
      </w:r>
    </w:p>
    <w:p w:rsidR="00D46D05" w:rsidRPr="001E52CF" w:rsidRDefault="00D46D05" w:rsidP="001E52CF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E52CF">
        <w:rPr>
          <w:rFonts w:ascii="Times New Roman" w:hAnsi="Times New Roman" w:cs="Times New Roman"/>
          <w:sz w:val="28"/>
          <w:szCs w:val="28"/>
        </w:rPr>
        <w:t>-расходы бюджета</w:t>
      </w:r>
      <w:r w:rsidRPr="001E52CF">
        <w:rPr>
          <w:rFonts w:ascii="Arial" w:hAnsi="Arial" w:cs="Arial"/>
          <w:sz w:val="28"/>
          <w:szCs w:val="28"/>
        </w:rPr>
        <w:t xml:space="preserve"> </w:t>
      </w:r>
      <w:r w:rsidRPr="001E52CF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1E52C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4 509,7 тыс. рублей (ранее внесенные изменения увеличили расходную часть бюджета поселения на 4 402,8 тыс. руб.). </w:t>
      </w:r>
    </w:p>
    <w:p w:rsidR="00D46D05" w:rsidRPr="001E52CF" w:rsidRDefault="00D46D05" w:rsidP="001E52CF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E52CF">
        <w:rPr>
          <w:rFonts w:ascii="Times New Roman" w:hAnsi="Times New Roman" w:cs="Times New Roman"/>
          <w:sz w:val="28"/>
          <w:szCs w:val="28"/>
        </w:rPr>
        <w:t xml:space="preserve">- дефицит бюджета поселения снизился на 472,3 тыс. руб. </w:t>
      </w:r>
      <w:r w:rsidRPr="001E52CF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</w:t>
      </w:r>
      <w:r w:rsidRPr="001E52CF">
        <w:rPr>
          <w:rFonts w:ascii="Times New Roman" w:hAnsi="Times New Roman" w:cs="Times New Roman"/>
          <w:sz w:val="28"/>
          <w:szCs w:val="28"/>
        </w:rPr>
        <w:t>увеличивается по сравнению с утвержденным на 59,2 тыс. руб.).</w:t>
      </w:r>
    </w:p>
    <w:p w:rsidR="001E52CF" w:rsidRDefault="001E52CF" w:rsidP="001E52CF">
      <w:pPr>
        <w:pStyle w:val="a3"/>
        <w:spacing w:after="0" w:line="240" w:lineRule="auto"/>
        <w:ind w:left="-57" w:firstLine="4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B2978" w:rsidRPr="001E52CF">
        <w:rPr>
          <w:rFonts w:ascii="Times New Roman" w:hAnsi="Times New Roman" w:cs="Times New Roman"/>
          <w:sz w:val="28"/>
          <w:szCs w:val="28"/>
        </w:rPr>
        <w:t xml:space="preserve"> 201</w:t>
      </w:r>
      <w:r w:rsidR="007B6EA8" w:rsidRPr="001E52CF">
        <w:rPr>
          <w:rFonts w:ascii="Times New Roman" w:hAnsi="Times New Roman" w:cs="Times New Roman"/>
          <w:sz w:val="28"/>
          <w:szCs w:val="28"/>
        </w:rPr>
        <w:t>7</w:t>
      </w:r>
      <w:r w:rsidR="00FB2978" w:rsidRPr="001E52CF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="005D06F8" w:rsidRPr="001E52CF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B829B2" w:rsidRPr="001E52C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увеличится на 54%, общий объем расходов бюджета увеличится на 46%. Темп увеличения доходов опережает темп увеличения расходов на 8 процентных пункта. </w:t>
      </w:r>
    </w:p>
    <w:p w:rsidR="00895244" w:rsidRPr="001E52CF" w:rsidRDefault="00895244" w:rsidP="001E52CF">
      <w:pPr>
        <w:pStyle w:val="a3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E52CF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1E52CF">
        <w:rPr>
          <w:rFonts w:ascii="Times New Roman" w:hAnsi="Times New Roman" w:cs="Times New Roman"/>
          <w:sz w:val="28"/>
          <w:szCs w:val="28"/>
        </w:rPr>
        <w:t xml:space="preserve"> </w:t>
      </w:r>
      <w:r w:rsidRPr="001E52CF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</w:t>
      </w:r>
      <w:r w:rsidRPr="001E52CF">
        <w:rPr>
          <w:rFonts w:ascii="Times New Roman" w:hAnsi="Times New Roman" w:cs="Times New Roman"/>
          <w:sz w:val="28"/>
          <w:szCs w:val="28"/>
        </w:rPr>
        <w:lastRenderedPageBreak/>
        <w:t>планируемых расходов бюджета Вяртсильского городского поселения наибольший удельный вес будут занимать расходы, направленные на жилищно-коммунальное хозяйство (</w:t>
      </w:r>
      <w:r w:rsidR="00107160" w:rsidRPr="001E52CF">
        <w:rPr>
          <w:rFonts w:ascii="Times New Roman" w:hAnsi="Times New Roman" w:cs="Times New Roman"/>
          <w:sz w:val="28"/>
          <w:szCs w:val="28"/>
        </w:rPr>
        <w:t>42</w:t>
      </w:r>
      <w:r w:rsidRPr="001E52CF">
        <w:rPr>
          <w:rFonts w:ascii="Times New Roman" w:hAnsi="Times New Roman" w:cs="Times New Roman"/>
          <w:sz w:val="28"/>
          <w:szCs w:val="28"/>
        </w:rPr>
        <w:t xml:space="preserve">%), </w:t>
      </w:r>
      <w:r w:rsidR="00B829B2" w:rsidRPr="001E52CF">
        <w:rPr>
          <w:rFonts w:ascii="Times New Roman" w:hAnsi="Times New Roman" w:cs="Times New Roman"/>
          <w:sz w:val="28"/>
          <w:szCs w:val="28"/>
        </w:rPr>
        <w:t xml:space="preserve">на общегосударственные вопросы (38%), </w:t>
      </w:r>
      <w:r w:rsidRPr="001E52CF">
        <w:rPr>
          <w:rFonts w:ascii="Times New Roman" w:hAnsi="Times New Roman" w:cs="Times New Roman"/>
          <w:sz w:val="28"/>
          <w:szCs w:val="28"/>
        </w:rPr>
        <w:t>на национальную экономику (</w:t>
      </w:r>
      <w:r w:rsidR="00B829B2" w:rsidRPr="001E52CF">
        <w:rPr>
          <w:rFonts w:ascii="Times New Roman" w:hAnsi="Times New Roman" w:cs="Times New Roman"/>
          <w:sz w:val="28"/>
          <w:szCs w:val="28"/>
        </w:rPr>
        <w:t>15%)</w:t>
      </w:r>
      <w:r w:rsidRPr="001E52CF">
        <w:rPr>
          <w:rFonts w:ascii="Times New Roman" w:hAnsi="Times New Roman" w:cs="Times New Roman"/>
          <w:sz w:val="28"/>
          <w:szCs w:val="28"/>
        </w:rPr>
        <w:t>.</w:t>
      </w:r>
    </w:p>
    <w:p w:rsidR="00895244" w:rsidRDefault="00895244" w:rsidP="001E52CF">
      <w:pPr>
        <w:pStyle w:val="a3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E52CF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поселения.</w:t>
      </w:r>
    </w:p>
    <w:p w:rsidR="001E52CF" w:rsidRDefault="001E52CF" w:rsidP="001E52CF">
      <w:pPr>
        <w:pStyle w:val="a3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52CF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проекта Решения Совета Вяртсильского городского поселения</w:t>
      </w:r>
      <w:r w:rsidRPr="001E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52CF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Pr="001E52CF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Pr="001E52CF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1E52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52CF">
        <w:rPr>
          <w:rFonts w:ascii="Times New Roman" w:hAnsi="Times New Roman" w:cs="Times New Roman"/>
          <w:sz w:val="28"/>
          <w:szCs w:val="28"/>
        </w:rPr>
        <w:t xml:space="preserve"> созыва Совета Вяртсильского городского поселения от 27.12.2016г. №97 «О бюджете Вяртсильского городского поселения на 2017 и плановый период 2018 и 2019 годы»</w:t>
      </w:r>
      <w:r w:rsidRPr="001E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выявлено нарушени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 действующего законодательства.</w:t>
      </w:r>
    </w:p>
    <w:p w:rsidR="001E52CF" w:rsidRPr="001E52CF" w:rsidRDefault="001E52CF" w:rsidP="001E52CF">
      <w:pPr>
        <w:pStyle w:val="a3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предлагается изменения прогноза поступления по налоговым и неналоговым доходам,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предлагается и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экономических показателей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 городского поселения.</w:t>
      </w:r>
    </w:p>
    <w:p w:rsidR="00231ECA" w:rsidRPr="001F7336" w:rsidRDefault="00231ECA" w:rsidP="001E52CF">
      <w:pPr>
        <w:pStyle w:val="a3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CF">
        <w:rPr>
          <w:rFonts w:ascii="Times New Roman" w:hAnsi="Times New Roman" w:cs="Times New Roman"/>
          <w:sz w:val="28"/>
          <w:szCs w:val="28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1E52CF">
        <w:rPr>
          <w:rFonts w:ascii="Times New Roman" w:eastAsia="Times New Roman" w:hAnsi="Times New Roman"/>
          <w:sz w:val="28"/>
          <w:szCs w:val="28"/>
          <w:lang w:eastAsia="ru-RU"/>
        </w:rPr>
        <w:t>разделам</w:t>
      </w:r>
      <w:r w:rsidR="001E52CF" w:rsidRPr="001E52C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E52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«Общегосударственные </w:t>
      </w:r>
      <w:r w:rsidRPr="001F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вопросы», «Национальная экономика» «Жилищно-коммунальное хозяйство».</w:t>
      </w:r>
    </w:p>
    <w:p w:rsidR="00231ECA" w:rsidRPr="001F7336" w:rsidRDefault="00231ECA" w:rsidP="001E52CF">
      <w:pPr>
        <w:pStyle w:val="a3"/>
        <w:numPr>
          <w:ilvl w:val="0"/>
          <w:numId w:val="10"/>
        </w:num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F7336">
        <w:rPr>
          <w:rFonts w:ascii="Times New Roman" w:hAnsi="Times New Roman" w:cs="Times New Roman"/>
          <w:sz w:val="28"/>
          <w:szCs w:val="28"/>
        </w:rPr>
        <w:t>В нарушение ст.184.2 БК РФ к проекту Решения не приложен проект изменений в паспорт муниципальной программы «Формирование комфортной городской среды Вяртсильского городского поселения на 2017 год» в связи с увеличением объема финансирования ранее запланированных мероприятий.</w:t>
      </w:r>
    </w:p>
    <w:p w:rsidR="00904C93" w:rsidRPr="001F7336" w:rsidRDefault="00904C93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1F7336" w:rsidRDefault="004D5EF8" w:rsidP="001E52C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7336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1F7336">
        <w:rPr>
          <w:rFonts w:ascii="Times New Roman" w:hAnsi="Times New Roman" w:cs="Times New Roman"/>
          <w:sz w:val="28"/>
          <w:szCs w:val="28"/>
        </w:rPr>
        <w:t>:</w:t>
      </w:r>
    </w:p>
    <w:p w:rsidR="001E52CF" w:rsidRPr="001F7336" w:rsidRDefault="001E52CF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ECA" w:rsidRDefault="009A340D" w:rsidP="00231E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r w:rsidRPr="00F117EE">
        <w:rPr>
          <w:rFonts w:ascii="Times New Roman" w:hAnsi="Times New Roman" w:cs="Times New Roman"/>
          <w:sz w:val="28"/>
          <w:szCs w:val="28"/>
        </w:rPr>
        <w:t xml:space="preserve">Вяртсильского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F117EE">
        <w:rPr>
          <w:rFonts w:ascii="Times New Roman" w:hAnsi="Times New Roman"/>
          <w:sz w:val="28"/>
          <w:szCs w:val="28"/>
        </w:rPr>
        <w:t>к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F117EE">
        <w:rPr>
          <w:rFonts w:ascii="Times New Roman" w:hAnsi="Times New Roman"/>
          <w:sz w:val="28"/>
          <w:szCs w:val="28"/>
        </w:rPr>
        <w:t>ю</w:t>
      </w:r>
      <w:r w:rsidR="00F117EE" w:rsidRPr="009E632C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  <w:lang w:val="en-US"/>
        </w:rPr>
        <w:t>XX</w:t>
      </w:r>
      <w:r w:rsidR="00DD3C65">
        <w:rPr>
          <w:rFonts w:ascii="Times New Roman" w:hAnsi="Times New Roman"/>
          <w:sz w:val="28"/>
          <w:szCs w:val="28"/>
          <w:lang w:val="en-US"/>
        </w:rPr>
        <w:t>X</w:t>
      </w:r>
      <w:r w:rsidR="00F117EE">
        <w:rPr>
          <w:rFonts w:ascii="Times New Roman" w:hAnsi="Times New Roman"/>
          <w:sz w:val="28"/>
          <w:szCs w:val="28"/>
          <w:lang w:val="en-US"/>
        </w:rPr>
        <w:t>VI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 xml:space="preserve">сессии </w:t>
      </w:r>
      <w:r w:rsidR="00F117EE">
        <w:rPr>
          <w:rFonts w:ascii="Times New Roman" w:hAnsi="Times New Roman"/>
          <w:sz w:val="28"/>
          <w:szCs w:val="28"/>
          <w:lang w:val="en-US"/>
        </w:rPr>
        <w:t>III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>созыва Совета Вяртсильского городского поселения от 2</w:t>
      </w:r>
      <w:r w:rsidR="00DD3C65">
        <w:rPr>
          <w:rFonts w:ascii="Times New Roman" w:hAnsi="Times New Roman"/>
          <w:sz w:val="28"/>
          <w:szCs w:val="28"/>
        </w:rPr>
        <w:t>7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DD3C65">
        <w:rPr>
          <w:rFonts w:ascii="Times New Roman" w:hAnsi="Times New Roman"/>
          <w:sz w:val="28"/>
          <w:szCs w:val="28"/>
        </w:rPr>
        <w:t>6</w:t>
      </w:r>
      <w:r w:rsidR="00F117EE">
        <w:rPr>
          <w:rFonts w:ascii="Times New Roman" w:hAnsi="Times New Roman"/>
          <w:sz w:val="28"/>
          <w:szCs w:val="28"/>
        </w:rPr>
        <w:t xml:space="preserve"> года №</w:t>
      </w:r>
      <w:r w:rsidR="00DD3C65">
        <w:rPr>
          <w:rFonts w:ascii="Times New Roman" w:hAnsi="Times New Roman"/>
          <w:sz w:val="28"/>
          <w:szCs w:val="28"/>
        </w:rPr>
        <w:t>9</w:t>
      </w:r>
      <w:r w:rsidR="00F117EE">
        <w:rPr>
          <w:rFonts w:ascii="Times New Roman" w:hAnsi="Times New Roman"/>
          <w:sz w:val="28"/>
          <w:szCs w:val="28"/>
        </w:rPr>
        <w:t>7 «О бюджете Вяртсильского городского поселения на 201</w:t>
      </w:r>
      <w:r w:rsidR="00DD3C65">
        <w:rPr>
          <w:rFonts w:ascii="Times New Roman" w:hAnsi="Times New Roman"/>
          <w:sz w:val="28"/>
          <w:szCs w:val="28"/>
        </w:rPr>
        <w:t>7 и плановой период 2018 и 2019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DD3C65">
        <w:rPr>
          <w:rFonts w:ascii="Times New Roman" w:hAnsi="Times New Roman"/>
          <w:sz w:val="28"/>
          <w:szCs w:val="28"/>
        </w:rPr>
        <w:t>ы</w:t>
      </w:r>
      <w:r w:rsidR="00F117EE">
        <w:rPr>
          <w:rFonts w:ascii="Times New Roman" w:hAnsi="Times New Roman"/>
          <w:sz w:val="28"/>
          <w:szCs w:val="28"/>
        </w:rPr>
        <w:t>»</w:t>
      </w:r>
      <w:r w:rsidR="00DD3C65">
        <w:rPr>
          <w:rFonts w:ascii="Times New Roman" w:hAnsi="Times New Roman"/>
          <w:sz w:val="28"/>
          <w:szCs w:val="28"/>
        </w:rPr>
        <w:t xml:space="preserve"> </w:t>
      </w:r>
      <w:r w:rsidR="00231ECA" w:rsidRPr="002E058D">
        <w:rPr>
          <w:rFonts w:ascii="Times New Roman" w:hAnsi="Times New Roman"/>
          <w:sz w:val="28"/>
          <w:szCs w:val="28"/>
        </w:rPr>
        <w:t xml:space="preserve">с учетом необходимости </w:t>
      </w:r>
      <w:r w:rsidR="00231ECA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увеличения бюджетных ассигнований </w:t>
      </w:r>
      <w:r w:rsidR="00231ECA" w:rsidRPr="00E83EBE">
        <w:rPr>
          <w:rFonts w:ascii="Times New Roman" w:hAnsi="Times New Roman" w:cs="Times New Roman"/>
          <w:sz w:val="28"/>
          <w:szCs w:val="28"/>
        </w:rPr>
        <w:t xml:space="preserve">по </w:t>
      </w:r>
      <w:r w:rsidR="00231ECA"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231EC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1E52C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31ECA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«Общегосударственные вопросы»</w:t>
      </w:r>
      <w:r w:rsidR="00231E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31ECA"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CA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231ECA"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CA"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 w:rsidR="0023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5B2" w:rsidRDefault="00E755B2" w:rsidP="00231E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B067A0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B067A0">
      <w:pPr>
        <w:pStyle w:val="a3"/>
        <w:spacing w:after="0" w:line="240" w:lineRule="auto"/>
        <w:ind w:left="-57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 xml:space="preserve">комитета             </w:t>
      </w:r>
      <w:r w:rsidR="00B067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21A1" w:rsidRPr="00A4499A">
        <w:rPr>
          <w:rFonts w:ascii="Times New Roman" w:hAnsi="Times New Roman" w:cs="Times New Roman"/>
          <w:sz w:val="28"/>
          <w:szCs w:val="28"/>
        </w:rPr>
        <w:t xml:space="preserve">                Н.А. Астафьева</w:t>
      </w:r>
    </w:p>
    <w:sectPr w:rsidR="004821A1" w:rsidRPr="005D3BCB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ED" w:rsidRDefault="003C78ED" w:rsidP="004821A1">
      <w:pPr>
        <w:spacing w:after="0" w:line="240" w:lineRule="auto"/>
      </w:pPr>
      <w:r>
        <w:separator/>
      </w:r>
    </w:p>
  </w:endnote>
  <w:endnote w:type="continuationSeparator" w:id="0">
    <w:p w:rsidR="003C78ED" w:rsidRDefault="003C78ED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ED" w:rsidRDefault="003C78ED" w:rsidP="004821A1">
      <w:pPr>
        <w:spacing w:after="0" w:line="240" w:lineRule="auto"/>
      </w:pPr>
      <w:r>
        <w:separator/>
      </w:r>
    </w:p>
  </w:footnote>
  <w:footnote w:type="continuationSeparator" w:id="0">
    <w:p w:rsidR="003C78ED" w:rsidRDefault="003C78ED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CC647F" w:rsidRDefault="00CC64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2B">
          <w:rPr>
            <w:noProof/>
          </w:rPr>
          <w:t>5</w:t>
        </w:r>
        <w:r>
          <w:fldChar w:fldCharType="end"/>
        </w:r>
      </w:p>
    </w:sdtContent>
  </w:sdt>
  <w:p w:rsidR="00CC647F" w:rsidRDefault="00CC64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6F4E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1AC10B39"/>
    <w:multiLevelType w:val="hybridMultilevel"/>
    <w:tmpl w:val="48FEBADA"/>
    <w:lvl w:ilvl="0" w:tplc="DC18F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347B1E78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2A76B1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05281"/>
    <w:rsid w:val="00026C92"/>
    <w:rsid w:val="0003323F"/>
    <w:rsid w:val="000356CC"/>
    <w:rsid w:val="000408C6"/>
    <w:rsid w:val="0006075A"/>
    <w:rsid w:val="00096D4F"/>
    <w:rsid w:val="00096E3D"/>
    <w:rsid w:val="000A3D0A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748B"/>
    <w:rsid w:val="00100B9B"/>
    <w:rsid w:val="00107160"/>
    <w:rsid w:val="001121DB"/>
    <w:rsid w:val="00132F0C"/>
    <w:rsid w:val="00135A04"/>
    <w:rsid w:val="00137FA8"/>
    <w:rsid w:val="00156AF9"/>
    <w:rsid w:val="00183CAA"/>
    <w:rsid w:val="00190C05"/>
    <w:rsid w:val="00197C61"/>
    <w:rsid w:val="001A0D1B"/>
    <w:rsid w:val="001A119B"/>
    <w:rsid w:val="001A4F50"/>
    <w:rsid w:val="001A6261"/>
    <w:rsid w:val="001B297B"/>
    <w:rsid w:val="001C09A1"/>
    <w:rsid w:val="001C5155"/>
    <w:rsid w:val="001C72DE"/>
    <w:rsid w:val="001D0106"/>
    <w:rsid w:val="001E0FD0"/>
    <w:rsid w:val="001E28A6"/>
    <w:rsid w:val="001E52CF"/>
    <w:rsid w:val="001F45C8"/>
    <w:rsid w:val="001F7336"/>
    <w:rsid w:val="00203DA1"/>
    <w:rsid w:val="0021742F"/>
    <w:rsid w:val="00220E2B"/>
    <w:rsid w:val="00231ECA"/>
    <w:rsid w:val="0023279F"/>
    <w:rsid w:val="00267052"/>
    <w:rsid w:val="00285C31"/>
    <w:rsid w:val="00293B80"/>
    <w:rsid w:val="002A5621"/>
    <w:rsid w:val="002A5E96"/>
    <w:rsid w:val="002A7B61"/>
    <w:rsid w:val="002B348B"/>
    <w:rsid w:val="002B7351"/>
    <w:rsid w:val="002C5AEB"/>
    <w:rsid w:val="002C6431"/>
    <w:rsid w:val="002E0E85"/>
    <w:rsid w:val="002E392C"/>
    <w:rsid w:val="002E5282"/>
    <w:rsid w:val="002E6658"/>
    <w:rsid w:val="00313EF3"/>
    <w:rsid w:val="00315C62"/>
    <w:rsid w:val="00316CFA"/>
    <w:rsid w:val="00333DB0"/>
    <w:rsid w:val="003528EA"/>
    <w:rsid w:val="00374E12"/>
    <w:rsid w:val="00386B5B"/>
    <w:rsid w:val="0039601A"/>
    <w:rsid w:val="003B0541"/>
    <w:rsid w:val="003B2D14"/>
    <w:rsid w:val="003B365F"/>
    <w:rsid w:val="003B4812"/>
    <w:rsid w:val="003B6096"/>
    <w:rsid w:val="003B6427"/>
    <w:rsid w:val="003B7B2D"/>
    <w:rsid w:val="003C0F10"/>
    <w:rsid w:val="003C459A"/>
    <w:rsid w:val="003C654D"/>
    <w:rsid w:val="003C78ED"/>
    <w:rsid w:val="003D0140"/>
    <w:rsid w:val="003D65A7"/>
    <w:rsid w:val="003D7B5D"/>
    <w:rsid w:val="003E55C4"/>
    <w:rsid w:val="00401EFD"/>
    <w:rsid w:val="00403238"/>
    <w:rsid w:val="004122B6"/>
    <w:rsid w:val="00421808"/>
    <w:rsid w:val="00423673"/>
    <w:rsid w:val="00423B27"/>
    <w:rsid w:val="00427EA5"/>
    <w:rsid w:val="00447DD6"/>
    <w:rsid w:val="00463740"/>
    <w:rsid w:val="00464216"/>
    <w:rsid w:val="00464942"/>
    <w:rsid w:val="00474A21"/>
    <w:rsid w:val="00475311"/>
    <w:rsid w:val="004821A1"/>
    <w:rsid w:val="004829E6"/>
    <w:rsid w:val="004B2718"/>
    <w:rsid w:val="004C03BA"/>
    <w:rsid w:val="004C1B7E"/>
    <w:rsid w:val="004D5EF8"/>
    <w:rsid w:val="00510DC5"/>
    <w:rsid w:val="00510F18"/>
    <w:rsid w:val="00512F9E"/>
    <w:rsid w:val="00515F0C"/>
    <w:rsid w:val="005206EF"/>
    <w:rsid w:val="005427F3"/>
    <w:rsid w:val="00555A50"/>
    <w:rsid w:val="00555DD4"/>
    <w:rsid w:val="00556664"/>
    <w:rsid w:val="00562EBC"/>
    <w:rsid w:val="00564B0A"/>
    <w:rsid w:val="0056791B"/>
    <w:rsid w:val="00575C1A"/>
    <w:rsid w:val="0058526D"/>
    <w:rsid w:val="005904B5"/>
    <w:rsid w:val="005B0492"/>
    <w:rsid w:val="005B3DFB"/>
    <w:rsid w:val="005B4598"/>
    <w:rsid w:val="005C425E"/>
    <w:rsid w:val="005C5696"/>
    <w:rsid w:val="005D06F8"/>
    <w:rsid w:val="005D2D77"/>
    <w:rsid w:val="005D3BCB"/>
    <w:rsid w:val="005E6029"/>
    <w:rsid w:val="005E66DC"/>
    <w:rsid w:val="005E7BE4"/>
    <w:rsid w:val="005F1B1C"/>
    <w:rsid w:val="00600063"/>
    <w:rsid w:val="00614DF3"/>
    <w:rsid w:val="006206FE"/>
    <w:rsid w:val="006244F1"/>
    <w:rsid w:val="006354CF"/>
    <w:rsid w:val="00635759"/>
    <w:rsid w:val="00637C5E"/>
    <w:rsid w:val="00655CDF"/>
    <w:rsid w:val="00664E5F"/>
    <w:rsid w:val="006654DD"/>
    <w:rsid w:val="00667734"/>
    <w:rsid w:val="00671396"/>
    <w:rsid w:val="00683111"/>
    <w:rsid w:val="00684EE6"/>
    <w:rsid w:val="006931B3"/>
    <w:rsid w:val="006A1EE8"/>
    <w:rsid w:val="006A2C44"/>
    <w:rsid w:val="006A7E25"/>
    <w:rsid w:val="006C4894"/>
    <w:rsid w:val="006C7D83"/>
    <w:rsid w:val="006D39DB"/>
    <w:rsid w:val="006D54E5"/>
    <w:rsid w:val="006E0E7B"/>
    <w:rsid w:val="006E348E"/>
    <w:rsid w:val="006F448D"/>
    <w:rsid w:val="006F4B82"/>
    <w:rsid w:val="007044EE"/>
    <w:rsid w:val="00705806"/>
    <w:rsid w:val="00721290"/>
    <w:rsid w:val="00726E99"/>
    <w:rsid w:val="007408D1"/>
    <w:rsid w:val="00750655"/>
    <w:rsid w:val="00753255"/>
    <w:rsid w:val="007537EE"/>
    <w:rsid w:val="00777C45"/>
    <w:rsid w:val="0078338A"/>
    <w:rsid w:val="00785F5B"/>
    <w:rsid w:val="007B6EA8"/>
    <w:rsid w:val="007F2E14"/>
    <w:rsid w:val="007F3FC6"/>
    <w:rsid w:val="007F44B1"/>
    <w:rsid w:val="007F474F"/>
    <w:rsid w:val="007F4BA7"/>
    <w:rsid w:val="0080173B"/>
    <w:rsid w:val="008018FD"/>
    <w:rsid w:val="00815BAA"/>
    <w:rsid w:val="008203EC"/>
    <w:rsid w:val="00826491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6C1"/>
    <w:rsid w:val="00862AF1"/>
    <w:rsid w:val="008644B8"/>
    <w:rsid w:val="0087096D"/>
    <w:rsid w:val="00895244"/>
    <w:rsid w:val="008A3E41"/>
    <w:rsid w:val="008B0264"/>
    <w:rsid w:val="008B06E3"/>
    <w:rsid w:val="008D5C20"/>
    <w:rsid w:val="00901B78"/>
    <w:rsid w:val="00904C93"/>
    <w:rsid w:val="009124FB"/>
    <w:rsid w:val="00912663"/>
    <w:rsid w:val="00913452"/>
    <w:rsid w:val="009201DE"/>
    <w:rsid w:val="00925A55"/>
    <w:rsid w:val="0093673E"/>
    <w:rsid w:val="00957DEC"/>
    <w:rsid w:val="00963A82"/>
    <w:rsid w:val="00974A6E"/>
    <w:rsid w:val="009810BC"/>
    <w:rsid w:val="00982D9F"/>
    <w:rsid w:val="00985A13"/>
    <w:rsid w:val="009A0085"/>
    <w:rsid w:val="009A30E5"/>
    <w:rsid w:val="009A340D"/>
    <w:rsid w:val="009A5C1F"/>
    <w:rsid w:val="009C253F"/>
    <w:rsid w:val="009F091A"/>
    <w:rsid w:val="009F2E2E"/>
    <w:rsid w:val="00A24F0B"/>
    <w:rsid w:val="00A35511"/>
    <w:rsid w:val="00A418E0"/>
    <w:rsid w:val="00A445FB"/>
    <w:rsid w:val="00A4499A"/>
    <w:rsid w:val="00A55028"/>
    <w:rsid w:val="00A55C19"/>
    <w:rsid w:val="00A76AAE"/>
    <w:rsid w:val="00A92600"/>
    <w:rsid w:val="00AA7FEC"/>
    <w:rsid w:val="00AB3188"/>
    <w:rsid w:val="00AB3B33"/>
    <w:rsid w:val="00AB4735"/>
    <w:rsid w:val="00AB5329"/>
    <w:rsid w:val="00AB65E4"/>
    <w:rsid w:val="00AC1142"/>
    <w:rsid w:val="00AC3AC8"/>
    <w:rsid w:val="00AD7B6A"/>
    <w:rsid w:val="00AE12FE"/>
    <w:rsid w:val="00AF6B49"/>
    <w:rsid w:val="00AF6D0D"/>
    <w:rsid w:val="00B010ED"/>
    <w:rsid w:val="00B067A0"/>
    <w:rsid w:val="00B15C34"/>
    <w:rsid w:val="00B17D7D"/>
    <w:rsid w:val="00B408C6"/>
    <w:rsid w:val="00B455E7"/>
    <w:rsid w:val="00B53E2E"/>
    <w:rsid w:val="00B54A6C"/>
    <w:rsid w:val="00B60D0C"/>
    <w:rsid w:val="00B621BC"/>
    <w:rsid w:val="00B6239A"/>
    <w:rsid w:val="00B76D3B"/>
    <w:rsid w:val="00B829B2"/>
    <w:rsid w:val="00B94D8B"/>
    <w:rsid w:val="00B95602"/>
    <w:rsid w:val="00B95E3A"/>
    <w:rsid w:val="00BA0471"/>
    <w:rsid w:val="00BB18E5"/>
    <w:rsid w:val="00BB51FF"/>
    <w:rsid w:val="00BB57F9"/>
    <w:rsid w:val="00BB7C13"/>
    <w:rsid w:val="00BC184E"/>
    <w:rsid w:val="00BD13F0"/>
    <w:rsid w:val="00BE02FD"/>
    <w:rsid w:val="00BF7B0D"/>
    <w:rsid w:val="00C0051E"/>
    <w:rsid w:val="00C12CDD"/>
    <w:rsid w:val="00C150F3"/>
    <w:rsid w:val="00C20F1F"/>
    <w:rsid w:val="00C2635F"/>
    <w:rsid w:val="00C2702A"/>
    <w:rsid w:val="00C3203A"/>
    <w:rsid w:val="00C56EA6"/>
    <w:rsid w:val="00C802B6"/>
    <w:rsid w:val="00C937E3"/>
    <w:rsid w:val="00C93DFF"/>
    <w:rsid w:val="00CA327A"/>
    <w:rsid w:val="00CC56F6"/>
    <w:rsid w:val="00CC57EF"/>
    <w:rsid w:val="00CC647F"/>
    <w:rsid w:val="00CD5398"/>
    <w:rsid w:val="00CF02E0"/>
    <w:rsid w:val="00CF7D5A"/>
    <w:rsid w:val="00D063E3"/>
    <w:rsid w:val="00D13DF8"/>
    <w:rsid w:val="00D30830"/>
    <w:rsid w:val="00D37870"/>
    <w:rsid w:val="00D41808"/>
    <w:rsid w:val="00D46D05"/>
    <w:rsid w:val="00D501A8"/>
    <w:rsid w:val="00D6683B"/>
    <w:rsid w:val="00D701E0"/>
    <w:rsid w:val="00D71EF5"/>
    <w:rsid w:val="00D74B6C"/>
    <w:rsid w:val="00D77132"/>
    <w:rsid w:val="00D8758B"/>
    <w:rsid w:val="00D92791"/>
    <w:rsid w:val="00D947B0"/>
    <w:rsid w:val="00DA110A"/>
    <w:rsid w:val="00DA3CA2"/>
    <w:rsid w:val="00DA470C"/>
    <w:rsid w:val="00DA5F2D"/>
    <w:rsid w:val="00DB5243"/>
    <w:rsid w:val="00DC3809"/>
    <w:rsid w:val="00DD3C65"/>
    <w:rsid w:val="00DD768B"/>
    <w:rsid w:val="00DE1ACB"/>
    <w:rsid w:val="00DE62ED"/>
    <w:rsid w:val="00DF61A4"/>
    <w:rsid w:val="00E0148A"/>
    <w:rsid w:val="00E02E8D"/>
    <w:rsid w:val="00E11E99"/>
    <w:rsid w:val="00E2164B"/>
    <w:rsid w:val="00E30C19"/>
    <w:rsid w:val="00E314C3"/>
    <w:rsid w:val="00E532CB"/>
    <w:rsid w:val="00E560E4"/>
    <w:rsid w:val="00E56C1D"/>
    <w:rsid w:val="00E73955"/>
    <w:rsid w:val="00E749D2"/>
    <w:rsid w:val="00E755B2"/>
    <w:rsid w:val="00E84944"/>
    <w:rsid w:val="00E87DA0"/>
    <w:rsid w:val="00EA234B"/>
    <w:rsid w:val="00EA488C"/>
    <w:rsid w:val="00EA4DAE"/>
    <w:rsid w:val="00EA76F7"/>
    <w:rsid w:val="00EC0A69"/>
    <w:rsid w:val="00ED3DF0"/>
    <w:rsid w:val="00ED5A01"/>
    <w:rsid w:val="00ED7D3F"/>
    <w:rsid w:val="00EF5A02"/>
    <w:rsid w:val="00F067F5"/>
    <w:rsid w:val="00F117EE"/>
    <w:rsid w:val="00F16471"/>
    <w:rsid w:val="00F26426"/>
    <w:rsid w:val="00F26534"/>
    <w:rsid w:val="00F306E1"/>
    <w:rsid w:val="00F4595E"/>
    <w:rsid w:val="00F46BE3"/>
    <w:rsid w:val="00F528C5"/>
    <w:rsid w:val="00F53295"/>
    <w:rsid w:val="00F53CB9"/>
    <w:rsid w:val="00F756C0"/>
    <w:rsid w:val="00F801E8"/>
    <w:rsid w:val="00F84EBD"/>
    <w:rsid w:val="00F97880"/>
    <w:rsid w:val="00FA0923"/>
    <w:rsid w:val="00FB2978"/>
    <w:rsid w:val="00FB750A"/>
    <w:rsid w:val="00FD3DAB"/>
    <w:rsid w:val="00FF4083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097F2F-CDB2-4012-927E-46210DE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33D8-B678-4798-9709-9FF98DC0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8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125</cp:revision>
  <cp:lastPrinted>2017-06-26T10:59:00Z</cp:lastPrinted>
  <dcterms:created xsi:type="dcterms:W3CDTF">2015-01-27T08:16:00Z</dcterms:created>
  <dcterms:modified xsi:type="dcterms:W3CDTF">2017-12-25T13:47:00Z</dcterms:modified>
</cp:coreProperties>
</file>