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1775E0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099948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B11D53">
        <w:rPr>
          <w:rFonts w:ascii="Times New Roman" w:hAnsi="Times New Roman" w:cs="Times New Roman"/>
          <w:b/>
          <w:sz w:val="28"/>
          <w:szCs w:val="28"/>
        </w:rPr>
        <w:t>72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33A2">
        <w:rPr>
          <w:rFonts w:ascii="Times New Roman" w:hAnsi="Times New Roman" w:cs="Times New Roman"/>
          <w:b/>
          <w:sz w:val="28"/>
          <w:szCs w:val="28"/>
        </w:rPr>
        <w:t>1</w:t>
      </w:r>
      <w:r w:rsidR="00B11D5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B11D53">
        <w:rPr>
          <w:rFonts w:ascii="Times New Roman" w:hAnsi="Times New Roman" w:cs="Times New Roman"/>
          <w:b/>
          <w:sz w:val="28"/>
          <w:szCs w:val="28"/>
        </w:rPr>
        <w:t>8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20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B11D53">
        <w:rPr>
          <w:rFonts w:ascii="Times New Roman" w:hAnsi="Times New Roman" w:cs="Times New Roman"/>
          <w:b/>
          <w:sz w:val="28"/>
          <w:szCs w:val="28"/>
        </w:rPr>
        <w:t>1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276B91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356FE1">
        <w:rPr>
          <w:rFonts w:ascii="Times New Roman" w:hAnsi="Times New Roman" w:cs="Times New Roman"/>
          <w:b/>
          <w:sz w:val="28"/>
          <w:szCs w:val="28"/>
        </w:rPr>
        <w:t>12</w:t>
      </w:r>
    </w:p>
    <w:p w:rsidR="00731980" w:rsidRPr="00731980" w:rsidRDefault="005B3DFB" w:rsidP="00CA60CF">
      <w:pPr>
        <w:pStyle w:val="a3"/>
        <w:numPr>
          <w:ilvl w:val="0"/>
          <w:numId w:val="5"/>
        </w:numPr>
        <w:shd w:val="clear" w:color="auto" w:fill="FFFFFF"/>
        <w:spacing w:after="100" w:afterAutospacing="1"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</w:t>
      </w:r>
      <w:r w:rsidR="00B11D53">
        <w:rPr>
          <w:rFonts w:ascii="Times New Roman" w:hAnsi="Times New Roman" w:cs="Times New Roman"/>
          <w:sz w:val="28"/>
          <w:szCs w:val="28"/>
        </w:rPr>
        <w:t>21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033A2">
      <w:pPr>
        <w:pStyle w:val="a3"/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3033A2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276B91">
        <w:rPr>
          <w:rFonts w:ascii="Times New Roman" w:hAnsi="Times New Roman" w:cs="Times New Roman"/>
          <w:sz w:val="28"/>
          <w:szCs w:val="28"/>
        </w:rPr>
        <w:t>30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276B91">
        <w:rPr>
          <w:rFonts w:ascii="Times New Roman" w:hAnsi="Times New Roman" w:cs="Times New Roman"/>
          <w:sz w:val="28"/>
          <w:szCs w:val="28"/>
        </w:rPr>
        <w:t>апреля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033A2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B11D53" w:rsidRPr="00B11D53">
        <w:rPr>
          <w:rFonts w:ascii="Times New Roman" w:hAnsi="Times New Roman" w:cs="Times New Roman"/>
          <w:sz w:val="28"/>
          <w:szCs w:val="28"/>
        </w:rPr>
        <w:t>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11D53" w:rsidRPr="00B11D53">
        <w:rPr>
          <w:rFonts w:ascii="Times New Roman" w:hAnsi="Times New Roman" w:cs="Times New Roman"/>
          <w:sz w:val="28"/>
          <w:szCs w:val="28"/>
        </w:rPr>
        <w:t>8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11D53" w:rsidRPr="00B11D53">
        <w:rPr>
          <w:rFonts w:ascii="Times New Roman" w:hAnsi="Times New Roman" w:cs="Times New Roman"/>
          <w:sz w:val="28"/>
          <w:szCs w:val="28"/>
        </w:rPr>
        <w:t>72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B11D53" w:rsidRPr="00B11D53">
        <w:rPr>
          <w:rFonts w:ascii="Times New Roman" w:hAnsi="Times New Roman" w:cs="Times New Roman"/>
          <w:sz w:val="28"/>
          <w:szCs w:val="28"/>
        </w:rPr>
        <w:t>1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303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AF2257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276B91">
        <w:rPr>
          <w:rFonts w:ascii="Times New Roman" w:hAnsi="Times New Roman" w:cs="Times New Roman"/>
          <w:sz w:val="28"/>
          <w:szCs w:val="28"/>
        </w:rPr>
        <w:t>61186,8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6B9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внесенные изменения -58963,8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276B91">
        <w:rPr>
          <w:rFonts w:ascii="Times New Roman" w:hAnsi="Times New Roman" w:cs="Times New Roman"/>
          <w:sz w:val="28"/>
          <w:szCs w:val="28"/>
        </w:rPr>
        <w:t xml:space="preserve">162390,8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276B91">
        <w:rPr>
          <w:rFonts w:ascii="Times New Roman" w:hAnsi="Times New Roman" w:cs="Times New Roman"/>
          <w:sz w:val="28"/>
          <w:szCs w:val="28"/>
        </w:rPr>
        <w:t xml:space="preserve">58986,8 </w:t>
      </w:r>
      <w:r w:rsidR="0033076C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76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76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внесенные изменения – 58963,8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.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276B91">
        <w:rPr>
          <w:rFonts w:ascii="Times New Roman" w:hAnsi="Times New Roman" w:cs="Times New Roman"/>
          <w:sz w:val="28"/>
          <w:szCs w:val="28"/>
        </w:rPr>
        <w:t>60343,6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276B91">
        <w:rPr>
          <w:rFonts w:ascii="Times New Roman" w:hAnsi="Times New Roman" w:cs="Times New Roman"/>
          <w:sz w:val="28"/>
          <w:szCs w:val="28"/>
        </w:rPr>
        <w:t>63465,0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3076C">
        <w:rPr>
          <w:rFonts w:ascii="Times New Roman" w:hAnsi="Times New Roman" w:cs="Times New Roman"/>
          <w:sz w:val="28"/>
          <w:szCs w:val="28"/>
        </w:rPr>
        <w:t>.</w:t>
      </w:r>
      <w:r w:rsidR="00276B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6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внесенные изменения – 61242,1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276B91">
        <w:rPr>
          <w:rFonts w:ascii="Times New Roman" w:hAnsi="Times New Roman" w:cs="Times New Roman"/>
          <w:sz w:val="28"/>
          <w:szCs w:val="28"/>
        </w:rPr>
        <w:t>167069,0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AF2257">
        <w:rPr>
          <w:rFonts w:ascii="Times New Roman" w:hAnsi="Times New Roman" w:cs="Times New Roman"/>
          <w:sz w:val="28"/>
          <w:szCs w:val="28"/>
        </w:rPr>
        <w:t>увеличится</w:t>
      </w:r>
      <w:r w:rsidR="0033076C">
        <w:rPr>
          <w:rFonts w:ascii="Times New Roman" w:hAnsi="Times New Roman" w:cs="Times New Roman"/>
          <w:sz w:val="28"/>
          <w:szCs w:val="28"/>
        </w:rPr>
        <w:t xml:space="preserve"> на </w:t>
      </w:r>
      <w:r w:rsidR="00B11D53">
        <w:rPr>
          <w:rFonts w:ascii="Times New Roman" w:hAnsi="Times New Roman" w:cs="Times New Roman"/>
          <w:sz w:val="28"/>
          <w:szCs w:val="28"/>
        </w:rPr>
        <w:t>2278,2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 xml:space="preserve">. </w:t>
      </w:r>
      <w:r w:rsidR="00276B91"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 xml:space="preserve">. ранее внесенные изменения – 2278,2 тыс. руб.) </w:t>
      </w:r>
      <w:r w:rsidR="00B11D53">
        <w:rPr>
          <w:rFonts w:ascii="Times New Roman" w:hAnsi="Times New Roman" w:cs="Times New Roman"/>
          <w:sz w:val="28"/>
          <w:szCs w:val="28"/>
        </w:rPr>
        <w:t>и составит 4678,2 тыс. руб.</w:t>
      </w:r>
    </w:p>
    <w:p w:rsidR="00BB1336" w:rsidRDefault="00AF2257" w:rsidP="00AF2257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>Остальные параметры бюджета  поселения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Pr="00AF2257">
        <w:rPr>
          <w:rFonts w:ascii="Times New Roman" w:hAnsi="Times New Roman" w:cs="Times New Roman"/>
          <w:sz w:val="28"/>
          <w:szCs w:val="28"/>
        </w:rPr>
        <w:t xml:space="preserve"> и 202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годов, утвержденные в ст.1 Решения о бюджете, в представленном проекте не уточняются. </w:t>
      </w: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Pr="005F1B1C" w:rsidRDefault="00BF5BE4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201</w:t>
      </w:r>
      <w:r w:rsidR="00B11D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сравнению с  утвержденным бюджетом </w:t>
      </w:r>
      <w:r w:rsidR="00B11D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76B91">
        <w:rPr>
          <w:rFonts w:ascii="Times New Roman" w:eastAsia="Times New Roman" w:hAnsi="Times New Roman"/>
          <w:sz w:val="28"/>
          <w:szCs w:val="28"/>
          <w:lang w:eastAsia="ru-RU"/>
        </w:rPr>
        <w:t>61186,8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безвозмездные поступления на </w:t>
      </w:r>
      <w:r w:rsidR="00276B91">
        <w:rPr>
          <w:rFonts w:ascii="Times New Roman" w:eastAsia="Times New Roman" w:hAnsi="Times New Roman"/>
          <w:sz w:val="28"/>
          <w:szCs w:val="28"/>
          <w:lang w:eastAsia="ru-RU"/>
        </w:rPr>
        <w:t>58986,8</w:t>
      </w:r>
      <w:r w:rsidR="00C25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 сравнению с ранее уточненным бюджетом предлагается на 2223,0 тыс. руб., в </w:t>
      </w:r>
      <w:proofErr w:type="spellStart"/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. безвозмездные поступления увеличатся на 23,0 тыс. руб.</w:t>
      </w:r>
    </w:p>
    <w:p w:rsidR="00652E8C" w:rsidRDefault="00BF5BE4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 по сравнению с утвержденным бюджетом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изменений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произойдет за счет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7E9" w:rsidRDefault="00652E8C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увеличения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</w:t>
      </w:r>
      <w:proofErr w:type="gramStart"/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в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межбюджетных трансфертов в объеме 23,0 тыс. руб. на частичную компенсацию дополнительных расходов, связанных с повышением оплаты труда работников сферы культуры;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2E8C" w:rsidRDefault="00A057E9" w:rsidP="00652E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доходов от продажи земельных участков, государственная собственность на которые не разграничена  в объеме 1000,0 тыс. руб., исходя из прогноза, предоставленного администратором поступления данного доходного источника – Администрацией Сортавальского муниципального района;</w:t>
      </w:r>
    </w:p>
    <w:p w:rsidR="00FD2490" w:rsidRDefault="00652E8C" w:rsidP="00FD2490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увеличением прогнозируемого поступления доходов от перечисления части прибыли м</w:t>
      </w:r>
      <w:r w:rsidR="00FD249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предприятия в сумме 1200,0 тыс. руб.</w:t>
      </w: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D2490">
        <w:rPr>
          <w:rFonts w:ascii="Times New Roman" w:eastAsia="Times New Roman" w:hAnsi="Times New Roman" w:cs="Times New Roman"/>
          <w:sz w:val="28"/>
          <w:szCs w:val="28"/>
          <w:lang w:eastAsia="ru-RU"/>
        </w:rPr>
        <w:t>167069,0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D2490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35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больше утвержденного бюджета</w:t>
      </w:r>
      <w:r w:rsidR="00F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25B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7"/>
        <w:gridCol w:w="1257"/>
        <w:gridCol w:w="1516"/>
        <w:gridCol w:w="1088"/>
        <w:gridCol w:w="994"/>
        <w:gridCol w:w="1102"/>
        <w:gridCol w:w="1157"/>
      </w:tblGrid>
      <w:tr w:rsidR="00A22CCF" w:rsidTr="00A22CC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0356CC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70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22CCF" w:rsidTr="00FD2490">
        <w:trPr>
          <w:tblHeader/>
        </w:trPr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A22CCF" w:rsidRPr="001B0D62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FD2490"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D2490" w:rsidTr="00915CDB">
        <w:tc>
          <w:tcPr>
            <w:tcW w:w="0" w:type="auto"/>
          </w:tcPr>
          <w:p w:rsidR="00FD2490" w:rsidRPr="000356CC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D2490" w:rsidRPr="000356CC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FD2490" w:rsidRPr="000356CC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19365,4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</w:tcPr>
          <w:p w:rsidR="00FD2490" w:rsidRPr="000356CC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19715,4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</w:tcPr>
          <w:p w:rsidR="00FD2490" w:rsidRPr="000356CC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+350,0</w:t>
            </w:r>
          </w:p>
        </w:tc>
      </w:tr>
      <w:tr w:rsidR="00FD2490" w:rsidTr="00915CDB">
        <w:tc>
          <w:tcPr>
            <w:tcW w:w="0" w:type="auto"/>
          </w:tcPr>
          <w:p w:rsidR="00FD2490" w:rsidRPr="000356CC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D2490" w:rsidRDefault="00FD2490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41856,0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41856,0</w:t>
            </w:r>
          </w:p>
        </w:tc>
        <w:tc>
          <w:tcPr>
            <w:tcW w:w="0" w:type="auto"/>
            <w:vAlign w:val="center"/>
          </w:tcPr>
          <w:p w:rsidR="00FD2490" w:rsidRDefault="00EB07C3" w:rsidP="00EB07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0" w:type="auto"/>
            <w:vAlign w:val="center"/>
          </w:tcPr>
          <w:p w:rsidR="00FD2490" w:rsidRDefault="00FD2490" w:rsidP="00FD249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79642,1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81492,2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+1850,1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20959,9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20982,8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+22,9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FD2490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D2490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FD2490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rPr>
          <w:trHeight w:val="305"/>
        </w:trPr>
        <w:tc>
          <w:tcPr>
            <w:tcW w:w="0" w:type="auto"/>
          </w:tcPr>
          <w:p w:rsidR="00FD2490" w:rsidRPr="001341AC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FD2490" w:rsidRPr="001341AC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0" w:rsidRPr="005E122C" w:rsidRDefault="00FD2490" w:rsidP="00FD249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164846,0</w:t>
            </w:r>
          </w:p>
        </w:tc>
        <w:tc>
          <w:tcPr>
            <w:tcW w:w="0" w:type="auto"/>
            <w:vAlign w:val="center"/>
          </w:tcPr>
          <w:p w:rsidR="00FD2490" w:rsidRDefault="00FD2490" w:rsidP="00AD5F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D2490" w:rsidRPr="005E122C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167069,0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D2490" w:rsidRPr="005E122C" w:rsidRDefault="00FD2490" w:rsidP="00EB07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EB07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2223,0</w:t>
            </w:r>
          </w:p>
        </w:tc>
      </w:tr>
    </w:tbl>
    <w:p w:rsidR="00EB07C3" w:rsidRDefault="00DC63DA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B07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B07C3" w:rsidRDefault="00EB07C3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разделу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Общегосударственные вопросы» 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на общую сумму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350,0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Пояснительной записке, </w:t>
      </w:r>
      <w:r w:rsidR="00B73195">
        <w:rPr>
          <w:rFonts w:ascii="Times New Roman" w:eastAsia="Times New Roman" w:hAnsi="Times New Roman"/>
          <w:sz w:val="28"/>
          <w:szCs w:val="28"/>
          <w:lang w:eastAsia="ru-RU"/>
        </w:rPr>
        <w:t>увеличение ассигнований необходимо для погашения задолженности перед УК «Эталон», образовавшейся за период с ноября 2015г. по декабрь 2017г. в объеме 250,0 тыс. руб. за услуги по содержанию, ремонту и управлению многоквартирным домом</w:t>
      </w:r>
      <w:proofErr w:type="gramStart"/>
      <w:r w:rsidR="00B7319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B73195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100,0 тыс. руб. на оплату административного штрафа за допущенное административное правонарушение. </w:t>
      </w:r>
    </w:p>
    <w:p w:rsidR="00B73195" w:rsidRDefault="00B73195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0500 «Жилищно-коммунальное хозяйство» на общую сумму </w:t>
      </w:r>
      <w:r w:rsidR="00EB07C3">
        <w:rPr>
          <w:rFonts w:ascii="Times New Roman" w:eastAsia="Times New Roman" w:hAnsi="Times New Roman"/>
          <w:sz w:val="28"/>
          <w:szCs w:val="28"/>
          <w:lang w:eastAsia="ru-RU"/>
        </w:rPr>
        <w:t>1850,1</w:t>
      </w:r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Согласно Пояснительной записке, увеличение бюджетных ассигнований необходимо для выполнения мероприятий по ремонту печи в муниципальной квартире, приобретению флагов для украшения города, на ремонт автомобиля МУ «Городское хозяйство», на </w:t>
      </w:r>
      <w:proofErr w:type="spellStart"/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обеспечению необходимой инфраструктурой земельных участков, предоставляемых </w:t>
      </w:r>
      <w:proofErr w:type="gramStart"/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>семьям</w:t>
      </w:r>
      <w:proofErr w:type="gramEnd"/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имеющим 3-х и более детей, а также на оплату денежной компенсации морального вреда и проведения экспертизы в сумме 79,0 тыс. руб. по исполнительным листам в пользу Самсонова А.А. 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3DA" w:rsidRDefault="00080E84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0800 «Культура и кинематография» на общую сумму </w:t>
      </w:r>
      <w:r w:rsidR="00EB07C3">
        <w:rPr>
          <w:rFonts w:ascii="Times New Roman" w:eastAsia="Times New Roman" w:hAnsi="Times New Roman"/>
          <w:sz w:val="28"/>
          <w:szCs w:val="28"/>
          <w:lang w:eastAsia="ru-RU"/>
        </w:rPr>
        <w:t>22,9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Пояснительной записке, </w:t>
      </w:r>
      <w:r w:rsidR="00311FD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предусмотрены за счет иных межбюджетных трансфертов, переданных из бюджета РК для выплаты частичной компенсации дополнительных расходов на повышение </w:t>
      </w:r>
      <w:proofErr w:type="gramStart"/>
      <w:r w:rsidR="00311FD5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 w:rsidR="00311F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1BE8" w:rsidRDefault="00311FD5" w:rsidP="00267052">
      <w:pPr>
        <w:pStyle w:val="a3"/>
        <w:ind w:left="0" w:firstLine="709"/>
        <w:jc w:val="both"/>
        <w:rPr>
          <w:rFonts w:ascii="Tahoma" w:hAnsi="Tahoma" w:cs="Tahoma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ст.34 БК РФ, </w:t>
      </w:r>
      <w:r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r:id="rId11" w:anchor="/document/12112604/entry/601" w:history="1">
        <w:r w:rsidRPr="00A07ED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бюджетом</w:t>
        </w:r>
      </w:hyperlink>
      <w:r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 объема средств (результативности)</w:t>
      </w:r>
      <w:r>
        <w:rPr>
          <w:rFonts w:ascii="Tahoma" w:hAnsi="Tahoma" w:cs="Tahoma"/>
          <w:color w:val="000000"/>
          <w:sz w:val="25"/>
          <w:szCs w:val="25"/>
        </w:rPr>
        <w:t>.</w:t>
      </w:r>
    </w:p>
    <w:p w:rsidR="00311FD5" w:rsidRPr="00311FD5" w:rsidRDefault="00311FD5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D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бюджетных полномочий Администрация Сортавальского городского поселения допустила </w:t>
      </w:r>
      <w:r w:rsidR="00A07ED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расходовани</w:t>
      </w:r>
      <w:r w:rsidR="00A07ED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 на уплату штрафа в объеме 100,0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денежной компенсации морального вреда и проведения экспертизы в сумме 79,0 тыс. руб., </w:t>
      </w:r>
      <w:r w:rsidRPr="00311F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</w:t>
      </w:r>
      <w:proofErr w:type="gramStart"/>
      <w:r w:rsidRPr="00311F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отвечающее</w:t>
      </w:r>
      <w:proofErr w:type="gramEnd"/>
      <w:r w:rsidRPr="00311F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принципу эффективности использования денежных средств</w:t>
      </w:r>
      <w:r w:rsidR="00A07E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D66112" w:rsidRDefault="00D66112" w:rsidP="00C258D5">
      <w:pPr>
        <w:pStyle w:val="a3"/>
        <w:widowControl w:val="0"/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</w:t>
      </w:r>
      <w:r w:rsidR="00311F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жилищно-коммунальное хозяйство  – 48,</w:t>
      </w:r>
      <w:r w:rsidR="00311F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утвержденном бюджете – </w:t>
      </w:r>
      <w:r w:rsidR="00311FD5">
        <w:rPr>
          <w:rFonts w:ascii="Times New Roman" w:eastAsia="Times New Roman" w:hAnsi="Times New Roman" w:cs="Times New Roman"/>
          <w:sz w:val="28"/>
          <w:szCs w:val="28"/>
          <w:lang w:eastAsia="ru-RU"/>
        </w:rPr>
        <w:t>48,3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экономику.–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5EB" w:rsidRPr="00733DEF" w:rsidRDefault="00D755EB" w:rsidP="00C258D5">
      <w:pPr>
        <w:pStyle w:val="a3"/>
        <w:spacing w:before="100" w:beforeAutospacing="1"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D755EB" w:rsidRDefault="00D755EB" w:rsidP="00D755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№7 к Решению о бюджете поселения на 2019 и плановый период 2020 - 2021 годов </w:t>
      </w:r>
      <w:r w:rsidR="00794B52">
        <w:rPr>
          <w:rFonts w:ascii="Times New Roman" w:hAnsi="Times New Roman" w:cs="Times New Roman"/>
          <w:sz w:val="28"/>
          <w:szCs w:val="28"/>
        </w:rPr>
        <w:t xml:space="preserve"> с учетом изменений,</w:t>
      </w:r>
      <w:r w:rsidR="0035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утверждено распределение бюджетных ассигнований на реализацию 3-х муниципальных программ, предусмотренных к финансированию в 2019 году за счет средств бюджета Сортавальского городского поселения в объеме </w:t>
      </w:r>
      <w:r w:rsidR="00794B52">
        <w:rPr>
          <w:rFonts w:ascii="Times New Roman" w:hAnsi="Times New Roman" w:cs="Times New Roman"/>
          <w:sz w:val="28"/>
          <w:szCs w:val="28"/>
        </w:rPr>
        <w:t>15639,7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94B52" w:rsidRDefault="00D755EB" w:rsidP="00D755E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изложить Приложение №7 в новой редакции, согласно которой  объем бюджетных ассигнований на реализацию 3-х муниципальных программ предлагается 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том же объеме</w:t>
      </w:r>
    </w:p>
    <w:p w:rsidR="00D755EB" w:rsidRPr="00833AF8" w:rsidRDefault="00003BA9" w:rsidP="00003BA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 отсутствии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D755EB">
        <w:rPr>
          <w:rFonts w:ascii="Times New Roman" w:hAnsi="Times New Roman"/>
          <w:color w:val="000000"/>
          <w:sz w:val="28"/>
          <w:szCs w:val="28"/>
        </w:rPr>
        <w:t>а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Сортавальского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 w:rsidR="00D755EB">
        <w:rPr>
          <w:rFonts w:ascii="Times New Roman" w:hAnsi="Times New Roman"/>
          <w:color w:val="000000"/>
          <w:sz w:val="28"/>
          <w:szCs w:val="28"/>
        </w:rPr>
        <w:t>,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 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Сортавальского городского поселения»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5E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D755EB">
        <w:rPr>
          <w:rFonts w:ascii="Times New Roman" w:hAnsi="Times New Roman"/>
          <w:color w:val="000000"/>
          <w:sz w:val="28"/>
          <w:szCs w:val="28"/>
        </w:rPr>
        <w:t xml:space="preserve"> что не соответствует принципам, установленным Федеральным законом №172-ФЗ «О стратегическом планировании в РФ». Д</w:t>
      </w:r>
      <w:r w:rsidR="00D755EB" w:rsidRPr="00833AF8">
        <w:rPr>
          <w:rFonts w:ascii="Times New Roman" w:hAnsi="Times New Roman"/>
          <w:sz w:val="28"/>
          <w:szCs w:val="28"/>
        </w:rPr>
        <w:t xml:space="preserve">ля достижения целей и задач, поставленных в рамках реализации полномочий, определенных </w:t>
      </w:r>
      <w:r w:rsidR="00D755EB" w:rsidRPr="00833AF8">
        <w:rPr>
          <w:rFonts w:ascii="Times New Roman" w:hAnsi="Times New Roman"/>
          <w:sz w:val="28"/>
          <w:szCs w:val="28"/>
        </w:rPr>
        <w:lastRenderedPageBreak/>
        <w:t>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 w:rsidR="00D755EB">
        <w:rPr>
          <w:rFonts w:ascii="Times New Roman" w:hAnsi="Times New Roman"/>
          <w:sz w:val="28"/>
          <w:szCs w:val="28"/>
        </w:rPr>
        <w:t>на</w:t>
      </w:r>
      <w:r w:rsidR="00D755EB"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794B52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A3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утвержденный размер дефицита бюджета на 2019г. вносились изменения, в результате чего его объем увеличился на 2278,2 тыс. руб. или на</w:t>
      </w:r>
      <w:proofErr w:type="gramEnd"/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94,9% и составил 4678,2 тыс. руб.</w:t>
      </w:r>
    </w:p>
    <w:p w:rsidR="00BA358B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утвержденный объем дефицита бюджета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прежнем объеме, т.е. 4678,2 тыс. руб.</w:t>
      </w:r>
    </w:p>
    <w:p w:rsidR="00BA358B" w:rsidRDefault="00BA358B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A6212"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gramStart"/>
      <w:r w:rsidR="00DA6212"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247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Default="00DA6212" w:rsidP="00DA6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E655B1" w:rsidRDefault="00DA6212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794B52" w:rsidTr="00CA60CF">
        <w:tc>
          <w:tcPr>
            <w:tcW w:w="1482" w:type="pct"/>
          </w:tcPr>
          <w:p w:rsidR="00794B52" w:rsidRPr="00E655B1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101204,0</w:t>
            </w:r>
          </w:p>
        </w:tc>
        <w:tc>
          <w:tcPr>
            <w:tcW w:w="1220" w:type="pct"/>
          </w:tcPr>
          <w:p w:rsidR="00794B52" w:rsidRPr="00E655B1" w:rsidRDefault="00794B52" w:rsidP="00AD5F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160167,8</w:t>
            </w:r>
          </w:p>
        </w:tc>
        <w:tc>
          <w:tcPr>
            <w:tcW w:w="1078" w:type="pct"/>
          </w:tcPr>
          <w:p w:rsidR="00794B52" w:rsidRPr="00E655B1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162390,8</w:t>
            </w:r>
          </w:p>
        </w:tc>
      </w:tr>
      <w:tr w:rsidR="00794B52" w:rsidTr="00CA60CF">
        <w:tc>
          <w:tcPr>
            <w:tcW w:w="1482" w:type="pct"/>
          </w:tcPr>
          <w:p w:rsidR="00794B52" w:rsidRPr="00E655B1" w:rsidRDefault="00794B5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1356,8</w:t>
            </w:r>
          </w:p>
        </w:tc>
        <w:tc>
          <w:tcPr>
            <w:tcW w:w="1220" w:type="pct"/>
          </w:tcPr>
          <w:p w:rsidR="00794B52" w:rsidRDefault="00794B52" w:rsidP="00AD5F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60320,6</w:t>
            </w:r>
          </w:p>
        </w:tc>
        <w:tc>
          <w:tcPr>
            <w:tcW w:w="1078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60343,6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99847,2</w:t>
            </w:r>
          </w:p>
        </w:tc>
        <w:tc>
          <w:tcPr>
            <w:tcW w:w="1220" w:type="pct"/>
          </w:tcPr>
          <w:p w:rsidR="00794B52" w:rsidRDefault="00794B52" w:rsidP="00AD5F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99847,2</w:t>
            </w:r>
          </w:p>
        </w:tc>
        <w:tc>
          <w:tcPr>
            <w:tcW w:w="1078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102047,2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103604,0</w:t>
            </w:r>
          </w:p>
        </w:tc>
        <w:tc>
          <w:tcPr>
            <w:tcW w:w="1220" w:type="pct"/>
          </w:tcPr>
          <w:p w:rsidR="00794B52" w:rsidRDefault="00794B52" w:rsidP="00AD5F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164846,0</w:t>
            </w:r>
          </w:p>
        </w:tc>
        <w:tc>
          <w:tcPr>
            <w:tcW w:w="1078" w:type="pct"/>
          </w:tcPr>
          <w:p w:rsidR="00794B52" w:rsidRDefault="00B548E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167069,0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20" w:type="pct"/>
          </w:tcPr>
          <w:p w:rsidR="00794B52" w:rsidRDefault="00794B52" w:rsidP="00AD5F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  <w:tc>
          <w:tcPr>
            <w:tcW w:w="1078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1220" w:type="pct"/>
          </w:tcPr>
          <w:p w:rsidR="00794B52" w:rsidRDefault="00794B52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20" w:type="pct"/>
          </w:tcPr>
          <w:p w:rsidR="00794B52" w:rsidRDefault="00794B52" w:rsidP="00AD5F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  <w:tc>
          <w:tcPr>
            <w:tcW w:w="1078" w:type="pct"/>
          </w:tcPr>
          <w:p w:rsidR="00794B52" w:rsidRDefault="00794B52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20" w:type="pct"/>
          </w:tcPr>
          <w:p w:rsidR="00794B52" w:rsidRDefault="00794B52" w:rsidP="00AD5F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78" w:type="pct"/>
          </w:tcPr>
          <w:p w:rsidR="00794B52" w:rsidRDefault="00B548E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</w:tbl>
    <w:p w:rsidR="00BA358B" w:rsidRDefault="00BA358B" w:rsidP="00D755E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B548EE">
        <w:rPr>
          <w:rFonts w:ascii="Times New Roman" w:hAnsi="Times New Roman" w:cs="Times New Roman"/>
          <w:sz w:val="28"/>
          <w:szCs w:val="28"/>
        </w:rPr>
        <w:t>102047,2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B548EE">
        <w:rPr>
          <w:rFonts w:ascii="Times New Roman" w:hAnsi="Times New Roman" w:cs="Times New Roman"/>
          <w:sz w:val="28"/>
          <w:szCs w:val="28"/>
        </w:rPr>
        <w:t>10204,7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6112">
        <w:rPr>
          <w:rFonts w:ascii="Times New Roman" w:hAnsi="Times New Roman" w:cs="Times New Roman"/>
          <w:sz w:val="28"/>
          <w:szCs w:val="28"/>
        </w:rPr>
        <w:t xml:space="preserve">+ изменений остатка средств на счетах по учету средств бюджета в объеме </w:t>
      </w:r>
      <w:r w:rsidR="00D755EB">
        <w:rPr>
          <w:rFonts w:ascii="Times New Roman" w:hAnsi="Times New Roman" w:cs="Times New Roman"/>
          <w:sz w:val="28"/>
          <w:szCs w:val="28"/>
        </w:rPr>
        <w:t>4678,2</w:t>
      </w:r>
      <w:r w:rsidR="00D66112">
        <w:rPr>
          <w:rFonts w:ascii="Times New Roman" w:hAnsi="Times New Roman" w:cs="Times New Roman"/>
          <w:sz w:val="28"/>
          <w:szCs w:val="28"/>
        </w:rPr>
        <w:t xml:space="preserve"> тыс. руб.= </w:t>
      </w:r>
      <w:r w:rsidR="00B548EE">
        <w:rPr>
          <w:rFonts w:ascii="Times New Roman" w:hAnsi="Times New Roman" w:cs="Times New Roman"/>
          <w:sz w:val="28"/>
          <w:szCs w:val="28"/>
        </w:rPr>
        <w:t>14882,9</w:t>
      </w:r>
      <w:r w:rsidR="00D755EB">
        <w:rPr>
          <w:rFonts w:ascii="Times New Roman" w:hAnsi="Times New Roman" w:cs="Times New Roman"/>
          <w:sz w:val="28"/>
          <w:szCs w:val="28"/>
        </w:rPr>
        <w:t>2</w:t>
      </w:r>
      <w:r w:rsidR="00D66112">
        <w:rPr>
          <w:rFonts w:ascii="Times New Roman" w:hAnsi="Times New Roman" w:cs="Times New Roman"/>
          <w:sz w:val="28"/>
          <w:szCs w:val="28"/>
        </w:rPr>
        <w:t xml:space="preserve"> тыс. руб. предельное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D66112" w:rsidRDefault="00D66112" w:rsidP="0044796A">
      <w:pPr>
        <w:pStyle w:val="a3"/>
        <w:spacing w:before="100" w:beforeAutospacing="1"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 по отношению к первоначально утвержденному бюджету в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B548EE">
        <w:rPr>
          <w:rFonts w:ascii="Times New Roman" w:hAnsi="Times New Roman" w:cs="Times New Roman"/>
          <w:sz w:val="28"/>
          <w:szCs w:val="28"/>
        </w:rPr>
        <w:t>60,5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предлагается увеличить по сравнению с утвержденным бюджетом в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B548EE">
        <w:rPr>
          <w:rFonts w:ascii="Times New Roman" w:hAnsi="Times New Roman" w:cs="Times New Roman"/>
          <w:sz w:val="28"/>
          <w:szCs w:val="28"/>
        </w:rPr>
        <w:t>61,3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в текущем году опережает темп увеличения доходов, что привело к увеличению объема дефицита бюджета по сравнению с утвержденным бюджетом. </w:t>
      </w:r>
      <w:proofErr w:type="gramEnd"/>
    </w:p>
    <w:p w:rsidR="003232DB" w:rsidRPr="008C526F" w:rsidRDefault="003232DB" w:rsidP="00C00D5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3232DB" w:rsidRPr="008C526F" w:rsidRDefault="003232DB" w:rsidP="00A07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003BA9">
        <w:rPr>
          <w:rFonts w:ascii="Times New Roman" w:hAnsi="Times New Roman" w:cs="Times New Roman"/>
          <w:sz w:val="28"/>
          <w:szCs w:val="28"/>
        </w:rPr>
        <w:t>1</w:t>
      </w:r>
      <w:r w:rsidR="0044796A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356FE1">
        <w:rPr>
          <w:rFonts w:ascii="Times New Roman" w:hAnsi="Times New Roman" w:cs="Times New Roman"/>
          <w:sz w:val="28"/>
          <w:szCs w:val="28"/>
        </w:rPr>
        <w:t>.</w:t>
      </w:r>
    </w:p>
    <w:p w:rsidR="003232DB" w:rsidRDefault="003232DB" w:rsidP="003232D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44796A">
        <w:rPr>
          <w:rFonts w:ascii="Times New Roman" w:hAnsi="Times New Roman" w:cs="Times New Roman"/>
          <w:sz w:val="28"/>
          <w:szCs w:val="28"/>
        </w:rPr>
        <w:t>к изменению не предлагается.</w:t>
      </w:r>
    </w:p>
    <w:p w:rsidR="003232DB" w:rsidRPr="008C526F" w:rsidRDefault="0044796A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32DB" w:rsidRPr="008C526F">
        <w:rPr>
          <w:rFonts w:ascii="Times New Roman" w:hAnsi="Times New Roman" w:cs="Times New Roman"/>
          <w:sz w:val="28"/>
          <w:szCs w:val="28"/>
        </w:rPr>
        <w:t>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3BA9">
        <w:rPr>
          <w:rFonts w:ascii="Times New Roman" w:hAnsi="Times New Roman" w:cs="Times New Roman"/>
          <w:sz w:val="28"/>
          <w:szCs w:val="28"/>
        </w:rPr>
        <w:t>9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предлагается.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5A" w:rsidRDefault="00B95E3A" w:rsidP="00356FE1">
      <w:pPr>
        <w:pStyle w:val="a3"/>
        <w:spacing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C00D50" w:rsidRDefault="002D7ABD" w:rsidP="00B548EE">
      <w:pPr>
        <w:pStyle w:val="a3"/>
        <w:widowControl w:val="0"/>
        <w:spacing w:after="100" w:afterAutospacing="1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B548EE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32282F">
        <w:rPr>
          <w:rFonts w:ascii="Times New Roman" w:hAnsi="Times New Roman" w:cs="Times New Roman"/>
          <w:sz w:val="28"/>
          <w:szCs w:val="28"/>
        </w:rPr>
        <w:t>установлено</w:t>
      </w:r>
      <w:r w:rsidR="00B548EE">
        <w:rPr>
          <w:rFonts w:ascii="Times New Roman" w:hAnsi="Times New Roman" w:cs="Times New Roman"/>
          <w:sz w:val="28"/>
          <w:szCs w:val="28"/>
        </w:rPr>
        <w:t>.</w:t>
      </w:r>
      <w:r w:rsidR="001F0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9673EB" w:rsidRPr="0032282F" w:rsidRDefault="009673EB" w:rsidP="00356FE1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4674DA" w:rsidRDefault="004674DA" w:rsidP="00356FE1">
      <w:pPr>
        <w:spacing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C81AE7" w:rsidRDefault="004674DA" w:rsidP="00C16CA8">
      <w:pPr>
        <w:pStyle w:val="a3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16CA8">
        <w:rPr>
          <w:rFonts w:ascii="Times New Roman" w:hAnsi="Times New Roman"/>
          <w:sz w:val="28"/>
          <w:szCs w:val="28"/>
        </w:rPr>
        <w:t xml:space="preserve"> 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изменений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 в виде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</w:t>
      </w:r>
      <w:proofErr w:type="gramStart"/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5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F1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источников в виде доходов от продажи земельных участков, государственная собственность на которые не разграничена, и в виде доходов от перечисления части прибыли муниципального предприятия. </w:t>
      </w:r>
    </w:p>
    <w:p w:rsidR="00C81AE7" w:rsidRDefault="00C81AE7" w:rsidP="00C16CA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16CA8" w:rsidRDefault="00C81AE7" w:rsidP="00C16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C16CA8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F16933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="00C16CA8">
        <w:rPr>
          <w:rFonts w:ascii="Times New Roman" w:hAnsi="Times New Roman" w:cs="Times New Roman"/>
          <w:sz w:val="28"/>
          <w:szCs w:val="28"/>
        </w:rPr>
        <w:t>,</w:t>
      </w:r>
      <w:r w:rsidR="00C16CA8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C16CA8" w:rsidRPr="00C1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F16933">
        <w:rPr>
          <w:rFonts w:ascii="Times New Roman" w:hAnsi="Times New Roman" w:cs="Times New Roman"/>
          <w:sz w:val="28"/>
          <w:szCs w:val="28"/>
        </w:rPr>
        <w:t xml:space="preserve"> 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2223,0 тыс. руб., </w:t>
      </w:r>
      <w:r w:rsidR="00C16CA8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F16933">
        <w:rPr>
          <w:rFonts w:ascii="Times New Roman" w:hAnsi="Times New Roman" w:cs="Times New Roman"/>
          <w:sz w:val="28"/>
          <w:szCs w:val="28"/>
        </w:rPr>
        <w:t>162390,8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16CA8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>. безвозмездные поступления увеличатся на 23,0 тыс. руб</w:t>
      </w:r>
      <w:r w:rsidR="00F16933">
        <w:rPr>
          <w:rFonts w:ascii="Times New Roman" w:hAnsi="Times New Roman" w:cs="Times New Roman"/>
          <w:sz w:val="28"/>
          <w:szCs w:val="28"/>
        </w:rPr>
        <w:t>.</w:t>
      </w:r>
      <w:r w:rsidR="00C16CA8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F16933">
        <w:rPr>
          <w:rFonts w:ascii="Times New Roman" w:hAnsi="Times New Roman" w:cs="Times New Roman"/>
          <w:sz w:val="28"/>
          <w:szCs w:val="28"/>
        </w:rPr>
        <w:t>60343,6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4788" w:rsidRDefault="00C81AE7" w:rsidP="00F528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C16CA8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изменений </w:t>
      </w:r>
      <w:r w:rsidR="00C16CA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C16CA8">
        <w:rPr>
          <w:rFonts w:ascii="Times New Roman" w:hAnsi="Times New Roman" w:cs="Times New Roman"/>
          <w:sz w:val="28"/>
          <w:szCs w:val="28"/>
        </w:rPr>
        <w:t>ю</w:t>
      </w:r>
      <w:r w:rsidR="00C16CA8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F16933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356F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F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693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16CA8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F16933">
        <w:rPr>
          <w:rFonts w:ascii="Times New Roman" w:hAnsi="Times New Roman" w:cs="Times New Roman"/>
          <w:sz w:val="28"/>
          <w:szCs w:val="28"/>
        </w:rPr>
        <w:t>167069,0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6CA8" w:rsidRDefault="00C81AE7" w:rsidP="00C1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A07ED3">
        <w:rPr>
          <w:rFonts w:ascii="Times New Roman" w:hAnsi="Times New Roman" w:cs="Times New Roman"/>
          <w:sz w:val="28"/>
          <w:szCs w:val="28"/>
        </w:rPr>
        <w:t xml:space="preserve"> с учетом изменений </w:t>
      </w:r>
      <w:r w:rsidR="00C16CA8">
        <w:rPr>
          <w:rFonts w:ascii="Times New Roman" w:hAnsi="Times New Roman" w:cs="Times New Roman"/>
          <w:sz w:val="28"/>
          <w:szCs w:val="28"/>
        </w:rPr>
        <w:t xml:space="preserve"> </w:t>
      </w:r>
      <w:r w:rsidR="00A07ED3">
        <w:rPr>
          <w:rFonts w:ascii="Times New Roman" w:hAnsi="Times New Roman" w:cs="Times New Roman"/>
          <w:sz w:val="28"/>
          <w:szCs w:val="28"/>
        </w:rPr>
        <w:t xml:space="preserve">не </w:t>
      </w:r>
      <w:r w:rsidR="00C16CA8">
        <w:rPr>
          <w:rFonts w:ascii="Times New Roman" w:hAnsi="Times New Roman" w:cs="Times New Roman"/>
          <w:sz w:val="28"/>
          <w:szCs w:val="28"/>
        </w:rPr>
        <w:t>увеличится и составит 4678,2 тыс. руб.</w:t>
      </w:r>
    </w:p>
    <w:p w:rsidR="00CA60CF" w:rsidRDefault="006F4788" w:rsidP="00C1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 w:rsidR="00CA60CF">
        <w:rPr>
          <w:rFonts w:ascii="Times New Roman" w:hAnsi="Times New Roman" w:cs="Times New Roman"/>
          <w:sz w:val="28"/>
          <w:szCs w:val="28"/>
        </w:rPr>
        <w:t>9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 w:rsidR="00CA60CF">
        <w:rPr>
          <w:rFonts w:ascii="Times New Roman" w:hAnsi="Times New Roman" w:cs="Times New Roman"/>
          <w:sz w:val="28"/>
          <w:szCs w:val="28"/>
        </w:rPr>
        <w:t xml:space="preserve">не изменится и останется в прежнем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>
        <w:rPr>
          <w:rFonts w:ascii="Times New Roman" w:hAnsi="Times New Roman" w:cs="Times New Roman"/>
          <w:sz w:val="28"/>
          <w:szCs w:val="28"/>
        </w:rPr>
        <w:t>1</w:t>
      </w:r>
      <w:r w:rsidR="00CA60CF">
        <w:rPr>
          <w:rFonts w:ascii="Times New Roman" w:hAnsi="Times New Roman" w:cs="Times New Roman"/>
          <w:sz w:val="28"/>
          <w:szCs w:val="28"/>
        </w:rPr>
        <w:t>1000,0</w:t>
      </w:r>
      <w:r w:rsidRPr="00727B4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CA60CF" w:rsidRDefault="00CA60CF" w:rsidP="00CA60CF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C16C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16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изменение основных характеристик бюджета поселения в представленном проекте не планируется. </w:t>
      </w:r>
    </w:p>
    <w:p w:rsidR="00482761" w:rsidRDefault="00482761" w:rsidP="00C16CA8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lastRenderedPageBreak/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82761" w:rsidRPr="003342DD" w:rsidRDefault="00482761" w:rsidP="00C16CA8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 – 48,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утвержденном бюджете – 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48,3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национальную экономику.– 25,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общегосударственные вопросы – 11,8 процент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 – 12,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7ED3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CA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CA8" w:rsidRPr="00C16CA8" w:rsidRDefault="00482761" w:rsidP="00C16CA8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16C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6CA8" w:rsidRPr="00C16CA8" w:rsidRDefault="00C81AE7" w:rsidP="00C16CA8">
      <w:pPr>
        <w:pStyle w:val="a3"/>
        <w:widowControl w:val="0"/>
        <w:numPr>
          <w:ilvl w:val="0"/>
          <w:numId w:val="11"/>
        </w:numPr>
        <w:spacing w:after="0" w:afterAutospacing="1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Pr="00C16CA8">
        <w:rPr>
          <w:rFonts w:ascii="Times New Roman" w:hAnsi="Times New Roman" w:cs="Times New Roman"/>
          <w:sz w:val="28"/>
          <w:szCs w:val="28"/>
        </w:rPr>
        <w:t>Решения Совета Сортавальского городского поселения «О внесении изменений и дополнений в решение №</w:t>
      </w:r>
      <w:r w:rsidR="00C16CA8" w:rsidRPr="00C16CA8">
        <w:rPr>
          <w:rFonts w:ascii="Times New Roman" w:hAnsi="Times New Roman" w:cs="Times New Roman"/>
          <w:sz w:val="28"/>
          <w:szCs w:val="28"/>
        </w:rPr>
        <w:t>72</w:t>
      </w:r>
      <w:r w:rsidRPr="00C16CA8"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 w:rsidRPr="00C16CA8">
        <w:rPr>
          <w:rFonts w:ascii="Times New Roman" w:hAnsi="Times New Roman" w:cs="Times New Roman"/>
          <w:sz w:val="28"/>
          <w:szCs w:val="28"/>
        </w:rPr>
        <w:t>1</w:t>
      </w:r>
      <w:r w:rsidR="00C16CA8" w:rsidRPr="00C16CA8">
        <w:rPr>
          <w:rFonts w:ascii="Times New Roman" w:hAnsi="Times New Roman" w:cs="Times New Roman"/>
          <w:sz w:val="28"/>
          <w:szCs w:val="28"/>
        </w:rPr>
        <w:t>3</w:t>
      </w:r>
      <w:r w:rsidRPr="00C16CA8">
        <w:rPr>
          <w:rFonts w:ascii="Times New Roman" w:hAnsi="Times New Roman" w:cs="Times New Roman"/>
          <w:sz w:val="28"/>
          <w:szCs w:val="28"/>
        </w:rPr>
        <w:t>.12.201</w:t>
      </w:r>
      <w:r w:rsidR="00C16CA8" w:rsidRPr="00C16CA8">
        <w:rPr>
          <w:rFonts w:ascii="Times New Roman" w:hAnsi="Times New Roman" w:cs="Times New Roman"/>
          <w:sz w:val="28"/>
          <w:szCs w:val="28"/>
        </w:rPr>
        <w:t>8</w:t>
      </w:r>
      <w:r w:rsidRPr="00C16CA8">
        <w:rPr>
          <w:rFonts w:ascii="Times New Roman" w:hAnsi="Times New Roman" w:cs="Times New Roman"/>
          <w:sz w:val="28"/>
          <w:szCs w:val="28"/>
        </w:rPr>
        <w:t>г. «О бюджете Сортавальского городского поселения на 201</w:t>
      </w:r>
      <w:r w:rsidR="00C16CA8" w:rsidRPr="00C16CA8">
        <w:rPr>
          <w:rFonts w:ascii="Times New Roman" w:hAnsi="Times New Roman" w:cs="Times New Roman"/>
          <w:sz w:val="28"/>
          <w:szCs w:val="28"/>
        </w:rPr>
        <w:t>9</w:t>
      </w:r>
      <w:r w:rsidRPr="00C16CA8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 w:rsidRPr="00C16CA8">
        <w:rPr>
          <w:rFonts w:ascii="Times New Roman" w:hAnsi="Times New Roman" w:cs="Times New Roman"/>
          <w:sz w:val="28"/>
          <w:szCs w:val="28"/>
        </w:rPr>
        <w:t xml:space="preserve"> и 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на </w:t>
      </w:r>
      <w:r w:rsidR="00A06548" w:rsidRPr="00C16CA8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16CA8" w:rsidRPr="00C16CA8">
        <w:rPr>
          <w:rFonts w:ascii="Times New Roman" w:hAnsi="Times New Roman" w:cs="Times New Roman"/>
          <w:sz w:val="28"/>
          <w:szCs w:val="28"/>
        </w:rPr>
        <w:t xml:space="preserve">20 </w:t>
      </w:r>
      <w:r w:rsidR="00A06548" w:rsidRPr="00C16CA8">
        <w:rPr>
          <w:rFonts w:ascii="Times New Roman" w:hAnsi="Times New Roman" w:cs="Times New Roman"/>
          <w:sz w:val="28"/>
          <w:szCs w:val="28"/>
        </w:rPr>
        <w:t>и 20</w:t>
      </w:r>
      <w:r w:rsidR="00CA60CF" w:rsidRPr="00C16CA8">
        <w:rPr>
          <w:rFonts w:ascii="Times New Roman" w:hAnsi="Times New Roman" w:cs="Times New Roman"/>
          <w:sz w:val="28"/>
          <w:szCs w:val="28"/>
        </w:rPr>
        <w:t>2</w:t>
      </w:r>
      <w:r w:rsidR="00C16CA8" w:rsidRPr="00C16CA8">
        <w:rPr>
          <w:rFonts w:ascii="Times New Roman" w:hAnsi="Times New Roman" w:cs="Times New Roman"/>
          <w:sz w:val="28"/>
          <w:szCs w:val="28"/>
        </w:rPr>
        <w:t>1</w:t>
      </w:r>
      <w:r w:rsidR="00A06548" w:rsidRPr="00C16CA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16CA8">
        <w:rPr>
          <w:rFonts w:ascii="Times New Roman" w:hAnsi="Times New Roman" w:cs="Times New Roman"/>
          <w:sz w:val="28"/>
          <w:szCs w:val="28"/>
        </w:rPr>
        <w:t xml:space="preserve">» </w:t>
      </w:r>
      <w:r w:rsidR="00B77C17" w:rsidRPr="00C16CA8">
        <w:rPr>
          <w:rFonts w:ascii="Times New Roman" w:hAnsi="Times New Roman" w:cs="Times New Roman"/>
          <w:sz w:val="28"/>
          <w:szCs w:val="28"/>
        </w:rPr>
        <w:t>выявлен</w:t>
      </w:r>
      <w:r w:rsidR="00EF08B0" w:rsidRPr="00C16CA8">
        <w:rPr>
          <w:rFonts w:ascii="Times New Roman" w:hAnsi="Times New Roman" w:cs="Times New Roman"/>
          <w:sz w:val="28"/>
          <w:szCs w:val="28"/>
        </w:rPr>
        <w:t>о</w:t>
      </w:r>
      <w:r w:rsidR="00C16CA8" w:rsidRPr="00C16CA8">
        <w:rPr>
          <w:rFonts w:ascii="Times New Roman" w:hAnsi="Times New Roman" w:cs="Times New Roman"/>
          <w:sz w:val="28"/>
          <w:szCs w:val="28"/>
        </w:rPr>
        <w:t>:</w:t>
      </w:r>
      <w:r w:rsidR="00B77C17" w:rsidRPr="00C1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D3" w:rsidRPr="00A07ED3" w:rsidRDefault="00356FE1" w:rsidP="00356FE1">
      <w:pPr>
        <w:pStyle w:val="a3"/>
        <w:widowControl w:val="0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07ED3">
        <w:rPr>
          <w:rFonts w:ascii="Times New Roman" w:hAnsi="Times New Roman" w:cs="Times New Roman"/>
          <w:color w:val="000000"/>
          <w:sz w:val="28"/>
          <w:szCs w:val="28"/>
        </w:rPr>
        <w:t>ри исполнении бюджетных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7ED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Сортавальского городского поселения допустила необходимость расходования бюджетных средств на уплату штрафа в объеме 100,0 тыс. руб., </w:t>
      </w:r>
      <w:r w:rsidR="00A07ED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денежной компенсации морального вреда и проведения экспертизы в сумме 79,0 тыс. руб., </w:t>
      </w:r>
      <w:r w:rsidR="00A07ED3" w:rsidRPr="00311F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</w:t>
      </w:r>
      <w:proofErr w:type="gramStart"/>
      <w:r w:rsidR="00A07ED3" w:rsidRPr="00311F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отвечающее</w:t>
      </w:r>
      <w:proofErr w:type="gramEnd"/>
      <w:r w:rsidR="00A07ED3" w:rsidRPr="00311F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принципу эффективности использования денежных средств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C16CA8" w:rsidRPr="00C16CA8" w:rsidRDefault="00C258D5" w:rsidP="00356FE1">
      <w:pPr>
        <w:pStyle w:val="a3"/>
        <w:widowControl w:val="0"/>
        <w:numPr>
          <w:ilvl w:val="0"/>
          <w:numId w:val="15"/>
        </w:numPr>
        <w:spacing w:after="100" w:afterAutospacing="1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Сортавальского 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 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Сортавальского городского поселения»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не соответствует принципам, установленным Федеральным законом №172-ФЗ «О стратегическом планировании в РФ».</w:t>
      </w:r>
    </w:p>
    <w:p w:rsidR="004674DA" w:rsidRPr="00C16CA8" w:rsidRDefault="004674DA" w:rsidP="00C16CA8">
      <w:pPr>
        <w:pStyle w:val="a3"/>
        <w:widowControl w:val="0"/>
        <w:spacing w:after="0" w:afterAutospacing="1" w:line="240" w:lineRule="auto"/>
        <w:ind w:left="709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A07ED3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52549B" w:rsidRPr="00F117EE">
        <w:rPr>
          <w:rFonts w:ascii="Times New Roman" w:hAnsi="Times New Roman"/>
          <w:sz w:val="28"/>
          <w:szCs w:val="28"/>
        </w:rPr>
        <w:t xml:space="preserve">Совету </w:t>
      </w:r>
      <w:r w:rsidR="0052549B">
        <w:rPr>
          <w:rFonts w:ascii="Times New Roman" w:hAnsi="Times New Roman" w:cs="Times New Roman"/>
          <w:sz w:val="28"/>
          <w:szCs w:val="28"/>
        </w:rPr>
        <w:t>Сортаваль</w:t>
      </w:r>
      <w:r w:rsidR="003342DD">
        <w:rPr>
          <w:rFonts w:ascii="Times New Roman" w:hAnsi="Times New Roman" w:cs="Times New Roman"/>
          <w:sz w:val="28"/>
          <w:szCs w:val="28"/>
        </w:rPr>
        <w:t>с</w:t>
      </w:r>
      <w:r w:rsidR="0052549B">
        <w:rPr>
          <w:rFonts w:ascii="Times New Roman" w:hAnsi="Times New Roman" w:cs="Times New Roman"/>
          <w:sz w:val="28"/>
          <w:szCs w:val="28"/>
        </w:rPr>
        <w:t>кого</w:t>
      </w:r>
      <w:r w:rsidR="0052549B"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2549B"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52549B">
        <w:rPr>
          <w:rFonts w:ascii="Times New Roman" w:hAnsi="Times New Roman"/>
          <w:sz w:val="28"/>
          <w:szCs w:val="28"/>
        </w:rPr>
        <w:t xml:space="preserve"> </w:t>
      </w:r>
      <w:r w:rsidR="0052549B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CA60CF">
        <w:rPr>
          <w:rFonts w:ascii="Times New Roman" w:hAnsi="Times New Roman"/>
          <w:sz w:val="28"/>
          <w:szCs w:val="28"/>
        </w:rPr>
        <w:t>в решение №</w:t>
      </w:r>
      <w:r w:rsidR="00C258D5">
        <w:rPr>
          <w:rFonts w:ascii="Times New Roman" w:hAnsi="Times New Roman"/>
          <w:sz w:val="28"/>
          <w:szCs w:val="28"/>
        </w:rPr>
        <w:t>72</w:t>
      </w:r>
      <w:r w:rsidR="0052549B">
        <w:rPr>
          <w:rFonts w:ascii="Times New Roman" w:hAnsi="Times New Roman"/>
          <w:sz w:val="28"/>
          <w:szCs w:val="28"/>
        </w:rPr>
        <w:t xml:space="preserve"> от 1</w:t>
      </w:r>
      <w:r w:rsidR="00C258D5">
        <w:rPr>
          <w:rFonts w:ascii="Times New Roman" w:hAnsi="Times New Roman"/>
          <w:sz w:val="28"/>
          <w:szCs w:val="28"/>
        </w:rPr>
        <w:t>3</w:t>
      </w:r>
      <w:r w:rsidR="0052549B">
        <w:rPr>
          <w:rFonts w:ascii="Times New Roman" w:hAnsi="Times New Roman"/>
          <w:sz w:val="28"/>
          <w:szCs w:val="28"/>
        </w:rPr>
        <w:t xml:space="preserve"> декабря 201</w:t>
      </w:r>
      <w:r w:rsidR="00C258D5">
        <w:rPr>
          <w:rFonts w:ascii="Times New Roman" w:hAnsi="Times New Roman"/>
          <w:sz w:val="28"/>
          <w:szCs w:val="28"/>
        </w:rPr>
        <w:t>8</w:t>
      </w:r>
      <w:r w:rsidR="0052549B"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201</w:t>
      </w:r>
      <w:r w:rsidR="00C258D5">
        <w:rPr>
          <w:rFonts w:ascii="Times New Roman" w:hAnsi="Times New Roman"/>
          <w:sz w:val="28"/>
          <w:szCs w:val="28"/>
        </w:rPr>
        <w:t>9</w:t>
      </w:r>
      <w:r w:rsidR="0052549B">
        <w:rPr>
          <w:rFonts w:ascii="Times New Roman" w:hAnsi="Times New Roman"/>
          <w:sz w:val="28"/>
          <w:szCs w:val="28"/>
        </w:rPr>
        <w:t xml:space="preserve">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 w:rsidR="0052549B">
        <w:rPr>
          <w:rFonts w:ascii="Times New Roman" w:hAnsi="Times New Roman"/>
          <w:sz w:val="28"/>
          <w:szCs w:val="28"/>
        </w:rPr>
        <w:t>плановой период 20</w:t>
      </w:r>
      <w:r w:rsidR="00C258D5">
        <w:rPr>
          <w:rFonts w:ascii="Times New Roman" w:hAnsi="Times New Roman"/>
          <w:sz w:val="28"/>
          <w:szCs w:val="28"/>
        </w:rPr>
        <w:t>20</w:t>
      </w:r>
      <w:r w:rsidR="0052549B">
        <w:rPr>
          <w:rFonts w:ascii="Times New Roman" w:hAnsi="Times New Roman"/>
          <w:sz w:val="28"/>
          <w:szCs w:val="28"/>
        </w:rPr>
        <w:t xml:space="preserve"> и 20</w:t>
      </w:r>
      <w:r w:rsidR="00CA60CF">
        <w:rPr>
          <w:rFonts w:ascii="Times New Roman" w:hAnsi="Times New Roman"/>
          <w:sz w:val="28"/>
          <w:szCs w:val="28"/>
        </w:rPr>
        <w:t>2</w:t>
      </w:r>
      <w:r w:rsidR="00C258D5">
        <w:rPr>
          <w:rFonts w:ascii="Times New Roman" w:hAnsi="Times New Roman"/>
          <w:sz w:val="28"/>
          <w:szCs w:val="28"/>
        </w:rPr>
        <w:t>1</w:t>
      </w:r>
      <w:r w:rsidR="0052549B">
        <w:rPr>
          <w:rFonts w:ascii="Times New Roman" w:hAnsi="Times New Roman"/>
          <w:sz w:val="28"/>
          <w:szCs w:val="28"/>
        </w:rPr>
        <w:t xml:space="preserve"> год</w:t>
      </w:r>
      <w:r w:rsidR="00C258D5">
        <w:rPr>
          <w:rFonts w:ascii="Times New Roman" w:hAnsi="Times New Roman"/>
          <w:sz w:val="28"/>
          <w:szCs w:val="28"/>
        </w:rPr>
        <w:t>ов</w:t>
      </w:r>
      <w:r w:rsidR="0052549B">
        <w:rPr>
          <w:rFonts w:ascii="Times New Roman" w:hAnsi="Times New Roman"/>
          <w:sz w:val="28"/>
          <w:szCs w:val="28"/>
        </w:rPr>
        <w:t>»</w:t>
      </w:r>
      <w:r w:rsidR="003342DD">
        <w:rPr>
          <w:rFonts w:ascii="Times New Roman" w:hAnsi="Times New Roman"/>
          <w:sz w:val="28"/>
          <w:szCs w:val="28"/>
        </w:rPr>
        <w:t>.</w:t>
      </w:r>
      <w:proofErr w:type="gramEnd"/>
    </w:p>
    <w:p w:rsidR="00356FE1" w:rsidRDefault="00356FE1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6FE1" w:rsidRDefault="00356FE1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7ED3" w:rsidRDefault="00A07ED3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Администрации Сортавальского городского поселения:</w:t>
      </w:r>
    </w:p>
    <w:p w:rsidR="00A07ED3" w:rsidRDefault="00A07ED3" w:rsidP="00356FE1">
      <w:pPr>
        <w:pStyle w:val="a3"/>
        <w:spacing w:after="0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исполнении бюджетных полномочий руководствоваться принципом эффективности бюджетных средств, заложенного ст.34 БК РФ;</w:t>
      </w:r>
    </w:p>
    <w:p w:rsidR="00A07ED3" w:rsidRDefault="00A07ED3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AF8">
        <w:rPr>
          <w:rFonts w:ascii="Times New Roman" w:hAnsi="Times New Roman"/>
          <w:sz w:val="28"/>
          <w:szCs w:val="28"/>
        </w:rPr>
        <w:t>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Pr="0052549B" w:rsidRDefault="00E755B2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E0" w:rsidRDefault="001775E0" w:rsidP="004821A1">
      <w:pPr>
        <w:spacing w:after="0" w:line="240" w:lineRule="auto"/>
      </w:pPr>
      <w:r>
        <w:separator/>
      </w:r>
    </w:p>
  </w:endnote>
  <w:endnote w:type="continuationSeparator" w:id="0">
    <w:p w:rsidR="001775E0" w:rsidRDefault="001775E0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E0" w:rsidRDefault="001775E0" w:rsidP="004821A1">
      <w:pPr>
        <w:spacing w:after="0" w:line="240" w:lineRule="auto"/>
      </w:pPr>
      <w:r>
        <w:separator/>
      </w:r>
    </w:p>
  </w:footnote>
  <w:footnote w:type="continuationSeparator" w:id="0">
    <w:p w:rsidR="001775E0" w:rsidRDefault="001775E0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C258D5" w:rsidRDefault="00C258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F6">
          <w:rPr>
            <w:noProof/>
          </w:rPr>
          <w:t>10</w:t>
        </w:r>
        <w:r>
          <w:fldChar w:fldCharType="end"/>
        </w:r>
      </w:p>
    </w:sdtContent>
  </w:sdt>
  <w:p w:rsidR="00C258D5" w:rsidRDefault="00C258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6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11D82"/>
    <w:rsid w:val="00014E77"/>
    <w:rsid w:val="000356CC"/>
    <w:rsid w:val="00042D9C"/>
    <w:rsid w:val="00045C8F"/>
    <w:rsid w:val="00060325"/>
    <w:rsid w:val="0006075A"/>
    <w:rsid w:val="00080E84"/>
    <w:rsid w:val="0008140B"/>
    <w:rsid w:val="0009460A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0BC9"/>
    <w:rsid w:val="0014653D"/>
    <w:rsid w:val="00151A3B"/>
    <w:rsid w:val="00170118"/>
    <w:rsid w:val="00172BC3"/>
    <w:rsid w:val="001775E0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1F06BF"/>
    <w:rsid w:val="0020048A"/>
    <w:rsid w:val="00201BE8"/>
    <w:rsid w:val="00203DA1"/>
    <w:rsid w:val="00206160"/>
    <w:rsid w:val="00224763"/>
    <w:rsid w:val="0023279F"/>
    <w:rsid w:val="00241318"/>
    <w:rsid w:val="002576D5"/>
    <w:rsid w:val="00267052"/>
    <w:rsid w:val="002729B0"/>
    <w:rsid w:val="00276B91"/>
    <w:rsid w:val="00284A7B"/>
    <w:rsid w:val="00285C31"/>
    <w:rsid w:val="00286297"/>
    <w:rsid w:val="002A392F"/>
    <w:rsid w:val="002A7B61"/>
    <w:rsid w:val="002B1D92"/>
    <w:rsid w:val="002B7351"/>
    <w:rsid w:val="002C37B9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111F7"/>
    <w:rsid w:val="00311675"/>
    <w:rsid w:val="00311FD5"/>
    <w:rsid w:val="00316CFA"/>
    <w:rsid w:val="003232DB"/>
    <w:rsid w:val="0033076C"/>
    <w:rsid w:val="00333DB0"/>
    <w:rsid w:val="003342DD"/>
    <w:rsid w:val="00352856"/>
    <w:rsid w:val="00356FE1"/>
    <w:rsid w:val="00367B20"/>
    <w:rsid w:val="0039601A"/>
    <w:rsid w:val="003B149F"/>
    <w:rsid w:val="003B2D14"/>
    <w:rsid w:val="003B44BF"/>
    <w:rsid w:val="003B6427"/>
    <w:rsid w:val="003D45D8"/>
    <w:rsid w:val="003F7632"/>
    <w:rsid w:val="00403238"/>
    <w:rsid w:val="00414697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3462"/>
    <w:rsid w:val="004D4739"/>
    <w:rsid w:val="004D5EF8"/>
    <w:rsid w:val="004F3D56"/>
    <w:rsid w:val="00501A90"/>
    <w:rsid w:val="00510DC5"/>
    <w:rsid w:val="00511106"/>
    <w:rsid w:val="0052549B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028C2"/>
    <w:rsid w:val="006206FE"/>
    <w:rsid w:val="006248CC"/>
    <w:rsid w:val="00652E8C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441F6"/>
    <w:rsid w:val="0076016E"/>
    <w:rsid w:val="00765C2A"/>
    <w:rsid w:val="00785F5B"/>
    <w:rsid w:val="00794B52"/>
    <w:rsid w:val="007C264C"/>
    <w:rsid w:val="007D0979"/>
    <w:rsid w:val="007D23F0"/>
    <w:rsid w:val="007D70A3"/>
    <w:rsid w:val="007E7743"/>
    <w:rsid w:val="0080433C"/>
    <w:rsid w:val="008316F8"/>
    <w:rsid w:val="00847E92"/>
    <w:rsid w:val="00865E9E"/>
    <w:rsid w:val="008717A3"/>
    <w:rsid w:val="008779B6"/>
    <w:rsid w:val="008830BE"/>
    <w:rsid w:val="008A3E41"/>
    <w:rsid w:val="008E47BD"/>
    <w:rsid w:val="008E75C1"/>
    <w:rsid w:val="008F3E6B"/>
    <w:rsid w:val="00915CDB"/>
    <w:rsid w:val="0091729B"/>
    <w:rsid w:val="00942075"/>
    <w:rsid w:val="009509EA"/>
    <w:rsid w:val="00954EDD"/>
    <w:rsid w:val="00960436"/>
    <w:rsid w:val="009673EB"/>
    <w:rsid w:val="009A30E5"/>
    <w:rsid w:val="009A5EB7"/>
    <w:rsid w:val="009B2775"/>
    <w:rsid w:val="009C18E2"/>
    <w:rsid w:val="009C4D7B"/>
    <w:rsid w:val="009F091A"/>
    <w:rsid w:val="00A01C17"/>
    <w:rsid w:val="00A057E9"/>
    <w:rsid w:val="00A06548"/>
    <w:rsid w:val="00A07ED3"/>
    <w:rsid w:val="00A22CCF"/>
    <w:rsid w:val="00A24F0B"/>
    <w:rsid w:val="00A445FB"/>
    <w:rsid w:val="00A44FF8"/>
    <w:rsid w:val="00A54B63"/>
    <w:rsid w:val="00A55C19"/>
    <w:rsid w:val="00A63665"/>
    <w:rsid w:val="00A851B0"/>
    <w:rsid w:val="00AF2257"/>
    <w:rsid w:val="00B00FB0"/>
    <w:rsid w:val="00B0656E"/>
    <w:rsid w:val="00B11D53"/>
    <w:rsid w:val="00B15C34"/>
    <w:rsid w:val="00B227EC"/>
    <w:rsid w:val="00B25BDF"/>
    <w:rsid w:val="00B36E17"/>
    <w:rsid w:val="00B455E7"/>
    <w:rsid w:val="00B548EE"/>
    <w:rsid w:val="00B574AB"/>
    <w:rsid w:val="00B65805"/>
    <w:rsid w:val="00B664E0"/>
    <w:rsid w:val="00B66A76"/>
    <w:rsid w:val="00B67AA2"/>
    <w:rsid w:val="00B73195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00D50"/>
    <w:rsid w:val="00C16CA8"/>
    <w:rsid w:val="00C258D5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91228"/>
    <w:rsid w:val="00C937E3"/>
    <w:rsid w:val="00C9538E"/>
    <w:rsid w:val="00CA60CF"/>
    <w:rsid w:val="00CB7F35"/>
    <w:rsid w:val="00CC56F6"/>
    <w:rsid w:val="00CC57EF"/>
    <w:rsid w:val="00CD731F"/>
    <w:rsid w:val="00CD7C8B"/>
    <w:rsid w:val="00CF02E0"/>
    <w:rsid w:val="00CF7D5A"/>
    <w:rsid w:val="00D2483D"/>
    <w:rsid w:val="00D2623A"/>
    <w:rsid w:val="00D60186"/>
    <w:rsid w:val="00D66112"/>
    <w:rsid w:val="00D755EB"/>
    <w:rsid w:val="00D816DE"/>
    <w:rsid w:val="00D85C04"/>
    <w:rsid w:val="00D8758B"/>
    <w:rsid w:val="00D92791"/>
    <w:rsid w:val="00D947B0"/>
    <w:rsid w:val="00DA16D5"/>
    <w:rsid w:val="00DA396F"/>
    <w:rsid w:val="00DA3CA2"/>
    <w:rsid w:val="00DA6212"/>
    <w:rsid w:val="00DC3809"/>
    <w:rsid w:val="00DC63DA"/>
    <w:rsid w:val="00DC6774"/>
    <w:rsid w:val="00DD52CE"/>
    <w:rsid w:val="00DF0059"/>
    <w:rsid w:val="00E1771D"/>
    <w:rsid w:val="00E30C19"/>
    <w:rsid w:val="00E532CB"/>
    <w:rsid w:val="00E673E6"/>
    <w:rsid w:val="00E755B2"/>
    <w:rsid w:val="00E77CB8"/>
    <w:rsid w:val="00E84944"/>
    <w:rsid w:val="00E87B03"/>
    <w:rsid w:val="00E93A48"/>
    <w:rsid w:val="00E954A5"/>
    <w:rsid w:val="00E975B8"/>
    <w:rsid w:val="00EA488C"/>
    <w:rsid w:val="00EB07C3"/>
    <w:rsid w:val="00EC16E4"/>
    <w:rsid w:val="00EC3749"/>
    <w:rsid w:val="00ED7306"/>
    <w:rsid w:val="00ED7D3F"/>
    <w:rsid w:val="00EE2656"/>
    <w:rsid w:val="00EF08B0"/>
    <w:rsid w:val="00EF3962"/>
    <w:rsid w:val="00EF5A02"/>
    <w:rsid w:val="00F05DC2"/>
    <w:rsid w:val="00F12645"/>
    <w:rsid w:val="00F1296D"/>
    <w:rsid w:val="00F1303C"/>
    <w:rsid w:val="00F14BFE"/>
    <w:rsid w:val="00F16933"/>
    <w:rsid w:val="00F20D00"/>
    <w:rsid w:val="00F26534"/>
    <w:rsid w:val="00F5282E"/>
    <w:rsid w:val="00F528C5"/>
    <w:rsid w:val="00F563CE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D2490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character" w:styleId="af0">
    <w:name w:val="Hyperlink"/>
    <w:basedOn w:val="a0"/>
    <w:uiPriority w:val="99"/>
    <w:semiHidden/>
    <w:unhideWhenUsed/>
    <w:rsid w:val="0031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character" w:styleId="af0">
    <w:name w:val="Hyperlink"/>
    <w:basedOn w:val="a0"/>
    <w:uiPriority w:val="99"/>
    <w:semiHidden/>
    <w:unhideWhenUsed/>
    <w:rsid w:val="0031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5214-578B-482D-A301-EF2CDEA8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2019-05-06T11:01:00Z</cp:lastPrinted>
  <dcterms:created xsi:type="dcterms:W3CDTF">2019-08-23T18:13:00Z</dcterms:created>
  <dcterms:modified xsi:type="dcterms:W3CDTF">2019-08-23T18:13:00Z</dcterms:modified>
</cp:coreProperties>
</file>