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A1" w:rsidRPr="00D76875" w:rsidRDefault="00AA4166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</w:pi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620F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6D386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D386C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2228AB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 w:rsidR="00AA5A8B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3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4</w:t>
      </w:r>
      <w:r w:rsidR="002228A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A5A8B" w:rsidRDefault="008C24E5" w:rsidP="00AA5A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A0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1754">
        <w:rPr>
          <w:rFonts w:ascii="Times New Roman" w:hAnsi="Times New Roman" w:cs="Times New Roman"/>
          <w:b/>
          <w:sz w:val="28"/>
          <w:szCs w:val="28"/>
        </w:rPr>
        <w:t>2</w:t>
      </w:r>
      <w:r w:rsidR="006D386C">
        <w:rPr>
          <w:rFonts w:ascii="Times New Roman" w:hAnsi="Times New Roman" w:cs="Times New Roman"/>
          <w:b/>
          <w:sz w:val="28"/>
          <w:szCs w:val="28"/>
        </w:rPr>
        <w:t>2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</w:t>
      </w:r>
      <w:r w:rsidR="006D38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D386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="00F20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A9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</w:p>
    <w:p w:rsidR="005B3DFB" w:rsidRPr="00AA5A8B" w:rsidRDefault="005B3DFB" w:rsidP="005B2A0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A8B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п.2,7 ч.2 статьи 9 федерального закона 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</w:t>
      </w:r>
      <w:r w:rsidR="00B67B18">
        <w:rPr>
          <w:rFonts w:ascii="Times New Roman" w:hAnsi="Times New Roman" w:cs="Times New Roman"/>
          <w:sz w:val="28"/>
          <w:szCs w:val="28"/>
        </w:rPr>
        <w:t>2</w:t>
      </w:r>
      <w:r w:rsidRPr="00AA5A8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67B18">
        <w:rPr>
          <w:rFonts w:ascii="Times New Roman" w:hAnsi="Times New Roman" w:cs="Times New Roman"/>
          <w:sz w:val="28"/>
          <w:szCs w:val="28"/>
        </w:rPr>
        <w:t>8.1.</w:t>
      </w:r>
      <w:r w:rsidRPr="00AA5A8B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комитете Сортавальского муниципального района, утвержденного Решением Совета Сортавальского муниципального района от </w:t>
      </w:r>
      <w:r w:rsidR="00B67B18">
        <w:rPr>
          <w:rFonts w:ascii="Times New Roman" w:hAnsi="Times New Roman" w:cs="Times New Roman"/>
          <w:sz w:val="28"/>
          <w:szCs w:val="28"/>
        </w:rPr>
        <w:t>30.11.2021</w:t>
      </w:r>
      <w:r w:rsidRPr="00AA5A8B">
        <w:rPr>
          <w:rFonts w:ascii="Times New Roman" w:hAnsi="Times New Roman" w:cs="Times New Roman"/>
          <w:sz w:val="28"/>
          <w:szCs w:val="28"/>
        </w:rPr>
        <w:t>г. №</w:t>
      </w:r>
      <w:r w:rsidR="00B67B18">
        <w:rPr>
          <w:rFonts w:ascii="Times New Roman" w:hAnsi="Times New Roman" w:cs="Times New Roman"/>
          <w:sz w:val="28"/>
          <w:szCs w:val="28"/>
        </w:rPr>
        <w:t>38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, </w:t>
      </w:r>
      <w:r w:rsidR="00461EA4">
        <w:rPr>
          <w:rFonts w:ascii="Times New Roman" w:hAnsi="Times New Roman" w:cs="Times New Roman"/>
          <w:sz w:val="28"/>
          <w:szCs w:val="28"/>
        </w:rPr>
        <w:t>ч. 1</w:t>
      </w:r>
      <w:r w:rsidR="004821A1" w:rsidRPr="00AA5A8B">
        <w:rPr>
          <w:rFonts w:ascii="Times New Roman" w:hAnsi="Times New Roman" w:cs="Times New Roman"/>
          <w:sz w:val="28"/>
          <w:szCs w:val="28"/>
        </w:rPr>
        <w:t>стать</w:t>
      </w:r>
      <w:r w:rsidR="00461EA4">
        <w:rPr>
          <w:rFonts w:ascii="Times New Roman" w:hAnsi="Times New Roman" w:cs="Times New Roman"/>
          <w:sz w:val="28"/>
          <w:szCs w:val="28"/>
        </w:rPr>
        <w:t>и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</w:t>
      </w:r>
      <w:r w:rsidR="00461EA4">
        <w:rPr>
          <w:rFonts w:ascii="Times New Roman" w:hAnsi="Times New Roman" w:cs="Times New Roman"/>
          <w:sz w:val="28"/>
          <w:szCs w:val="28"/>
        </w:rPr>
        <w:t>31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Сортавальском муниципальном районе», утвержденного Решением Совета Сортавальского муниципального района от </w:t>
      </w:r>
      <w:r w:rsidR="00461EA4">
        <w:rPr>
          <w:rFonts w:ascii="Times New Roman" w:hAnsi="Times New Roman" w:cs="Times New Roman"/>
          <w:sz w:val="28"/>
          <w:szCs w:val="28"/>
        </w:rPr>
        <w:t>08.09.2021г.</w:t>
      </w:r>
      <w:r w:rsidR="004821A1" w:rsidRPr="00AA5A8B">
        <w:rPr>
          <w:rFonts w:ascii="Times New Roman" w:hAnsi="Times New Roman" w:cs="Times New Roman"/>
          <w:sz w:val="28"/>
          <w:szCs w:val="28"/>
        </w:rPr>
        <w:t xml:space="preserve"> №</w:t>
      </w:r>
      <w:r w:rsidR="00461EA4">
        <w:rPr>
          <w:rFonts w:ascii="Times New Roman" w:hAnsi="Times New Roman" w:cs="Times New Roman"/>
          <w:sz w:val="28"/>
          <w:szCs w:val="28"/>
        </w:rPr>
        <w:t>22</w:t>
      </w:r>
      <w:r w:rsidR="004037F3">
        <w:rPr>
          <w:rFonts w:ascii="Times New Roman" w:hAnsi="Times New Roman" w:cs="Times New Roman"/>
          <w:sz w:val="28"/>
          <w:szCs w:val="28"/>
        </w:rPr>
        <w:t>.</w:t>
      </w:r>
    </w:p>
    <w:p w:rsidR="005B3DFB" w:rsidRPr="00183CAA" w:rsidRDefault="00225753" w:rsidP="005B2A0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муниципального района в проекте Решения Совета Сортавальского муниципального района «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Сортавальского муниципального района от </w:t>
      </w:r>
      <w:r w:rsidR="00111886">
        <w:rPr>
          <w:rFonts w:ascii="Times New Roman" w:hAnsi="Times New Roman" w:cs="Times New Roman"/>
          <w:sz w:val="28"/>
          <w:szCs w:val="28"/>
        </w:rPr>
        <w:t>10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111886">
        <w:rPr>
          <w:rFonts w:ascii="Times New Roman" w:hAnsi="Times New Roman" w:cs="Times New Roman"/>
          <w:sz w:val="28"/>
          <w:szCs w:val="28"/>
        </w:rPr>
        <w:t>1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111886">
        <w:rPr>
          <w:rFonts w:ascii="Times New Roman" w:hAnsi="Times New Roman" w:cs="Times New Roman"/>
          <w:sz w:val="28"/>
          <w:szCs w:val="28"/>
        </w:rPr>
        <w:t>44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111886">
        <w:rPr>
          <w:rFonts w:ascii="Times New Roman" w:hAnsi="Times New Roman" w:cs="Times New Roman"/>
          <w:sz w:val="28"/>
          <w:szCs w:val="28"/>
        </w:rPr>
        <w:t>2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111886">
        <w:rPr>
          <w:rFonts w:ascii="Times New Roman" w:hAnsi="Times New Roman" w:cs="Times New Roman"/>
          <w:sz w:val="28"/>
          <w:szCs w:val="28"/>
        </w:rPr>
        <w:t>3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111886">
        <w:rPr>
          <w:rFonts w:ascii="Times New Roman" w:hAnsi="Times New Roman" w:cs="Times New Roman"/>
          <w:sz w:val="28"/>
          <w:szCs w:val="28"/>
        </w:rPr>
        <w:t>4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183CAA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Default="00183CAA" w:rsidP="005B2A0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183CAA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C13B8C">
        <w:rPr>
          <w:rFonts w:ascii="Times New Roman" w:hAnsi="Times New Roman" w:cs="Times New Roman"/>
          <w:sz w:val="28"/>
          <w:szCs w:val="28"/>
        </w:rPr>
        <w:t>10</w:t>
      </w:r>
      <w:r w:rsidRPr="00183CA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C13B8C">
        <w:rPr>
          <w:rFonts w:ascii="Times New Roman" w:hAnsi="Times New Roman" w:cs="Times New Roman"/>
          <w:sz w:val="28"/>
          <w:szCs w:val="28"/>
        </w:rPr>
        <w:t>1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C13B8C">
        <w:rPr>
          <w:rFonts w:ascii="Times New Roman" w:hAnsi="Times New Roman" w:cs="Times New Roman"/>
          <w:sz w:val="28"/>
          <w:szCs w:val="28"/>
        </w:rPr>
        <w:t>44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C13B8C">
        <w:rPr>
          <w:rFonts w:ascii="Times New Roman" w:hAnsi="Times New Roman" w:cs="Times New Roman"/>
          <w:sz w:val="28"/>
          <w:szCs w:val="28"/>
        </w:rPr>
        <w:t>2</w:t>
      </w:r>
      <w:r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C13B8C">
        <w:rPr>
          <w:rFonts w:ascii="Times New Roman" w:hAnsi="Times New Roman" w:cs="Times New Roman"/>
          <w:sz w:val="28"/>
          <w:szCs w:val="28"/>
        </w:rPr>
        <w:t>3</w:t>
      </w:r>
      <w:r w:rsidR="002228AB">
        <w:rPr>
          <w:rFonts w:ascii="Times New Roman" w:hAnsi="Times New Roman" w:cs="Times New Roman"/>
          <w:sz w:val="28"/>
          <w:szCs w:val="28"/>
        </w:rPr>
        <w:t xml:space="preserve"> 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C13B8C">
        <w:rPr>
          <w:rFonts w:ascii="Times New Roman" w:hAnsi="Times New Roman" w:cs="Times New Roman"/>
          <w:sz w:val="28"/>
          <w:szCs w:val="28"/>
        </w:rPr>
        <w:t>4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материалы и документы финансово-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экономических обоснований указанного проекта в части, касающейся расходных обязательств бюджета Сортавальского муниципального района</w:t>
      </w:r>
      <w:r w:rsidR="00A30EF8">
        <w:rPr>
          <w:rFonts w:ascii="Times New Roman" w:hAnsi="Times New Roman" w:cs="Times New Roman"/>
          <w:sz w:val="28"/>
          <w:szCs w:val="28"/>
        </w:rPr>
        <w:t>.</w:t>
      </w:r>
    </w:p>
    <w:p w:rsidR="006F448D" w:rsidRPr="00FF7DBB" w:rsidRDefault="00183CAA" w:rsidP="005B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муниципального района «О внесении изменений и дополнений в решение Совета Сортавальского муниципального района от </w:t>
      </w:r>
      <w:r w:rsidR="00A85BC0">
        <w:rPr>
          <w:rFonts w:ascii="Times New Roman" w:hAnsi="Times New Roman" w:cs="Times New Roman"/>
          <w:sz w:val="28"/>
          <w:szCs w:val="28"/>
        </w:rPr>
        <w:t>10</w:t>
      </w:r>
      <w:r w:rsidRPr="00FF7DBB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17EE4">
        <w:rPr>
          <w:rFonts w:ascii="Times New Roman" w:hAnsi="Times New Roman" w:cs="Times New Roman"/>
          <w:sz w:val="28"/>
          <w:szCs w:val="28"/>
        </w:rPr>
        <w:t>2</w:t>
      </w:r>
      <w:r w:rsidR="00A85BC0">
        <w:rPr>
          <w:rFonts w:ascii="Times New Roman" w:hAnsi="Times New Roman" w:cs="Times New Roman"/>
          <w:sz w:val="28"/>
          <w:szCs w:val="28"/>
        </w:rPr>
        <w:t>1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DBB" w:rsidRPr="00FF7DBB">
        <w:rPr>
          <w:rFonts w:ascii="Times New Roman" w:hAnsi="Times New Roman" w:cs="Times New Roman"/>
          <w:sz w:val="28"/>
          <w:szCs w:val="28"/>
        </w:rPr>
        <w:t xml:space="preserve"> №</w:t>
      </w:r>
      <w:r w:rsidR="00A85BC0">
        <w:rPr>
          <w:rFonts w:ascii="Times New Roman" w:hAnsi="Times New Roman" w:cs="Times New Roman"/>
          <w:sz w:val="28"/>
          <w:szCs w:val="28"/>
        </w:rPr>
        <w:t>44</w:t>
      </w:r>
      <w:r w:rsidRPr="00FF7DBB">
        <w:rPr>
          <w:rFonts w:ascii="Times New Roman" w:hAnsi="Times New Roman" w:cs="Times New Roman"/>
          <w:sz w:val="28"/>
          <w:szCs w:val="28"/>
        </w:rPr>
        <w:t xml:space="preserve">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A85BC0">
        <w:rPr>
          <w:rFonts w:ascii="Times New Roman" w:hAnsi="Times New Roman" w:cs="Times New Roman"/>
          <w:sz w:val="28"/>
          <w:szCs w:val="28"/>
        </w:rPr>
        <w:t>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2228A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A85BC0">
        <w:rPr>
          <w:rFonts w:ascii="Times New Roman" w:hAnsi="Times New Roman" w:cs="Times New Roman"/>
          <w:sz w:val="28"/>
          <w:szCs w:val="28"/>
        </w:rPr>
        <w:t>3</w:t>
      </w:r>
      <w:r w:rsidR="00A30EF8">
        <w:rPr>
          <w:rFonts w:ascii="Times New Roman" w:hAnsi="Times New Roman" w:cs="Times New Roman"/>
          <w:sz w:val="28"/>
          <w:szCs w:val="28"/>
        </w:rPr>
        <w:t xml:space="preserve"> </w:t>
      </w:r>
      <w:r w:rsidR="002228AB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A85BC0">
        <w:rPr>
          <w:rFonts w:ascii="Times New Roman" w:hAnsi="Times New Roman" w:cs="Times New Roman"/>
          <w:sz w:val="28"/>
          <w:szCs w:val="28"/>
        </w:rPr>
        <w:t>4</w:t>
      </w:r>
      <w:r w:rsidR="002228A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7DBB">
        <w:rPr>
          <w:rFonts w:ascii="Times New Roman" w:hAnsi="Times New Roman" w:cs="Times New Roman"/>
          <w:sz w:val="28"/>
          <w:szCs w:val="28"/>
        </w:rPr>
        <w:t>»</w:t>
      </w:r>
      <w:r w:rsidR="00051754">
        <w:rPr>
          <w:rFonts w:ascii="Times New Roman" w:hAnsi="Times New Roman" w:cs="Times New Roman"/>
          <w:sz w:val="28"/>
          <w:szCs w:val="28"/>
        </w:rPr>
        <w:t xml:space="preserve"> </w:t>
      </w:r>
      <w:r w:rsidRPr="00FD138A">
        <w:rPr>
          <w:rFonts w:ascii="Times New Roman" w:hAnsi="Times New Roman" w:cs="Times New Roman"/>
          <w:sz w:val="28"/>
          <w:szCs w:val="28"/>
        </w:rPr>
        <w:t>с приложениями №№1-</w:t>
      </w:r>
      <w:r w:rsidR="00A85BC0">
        <w:rPr>
          <w:rFonts w:ascii="Times New Roman" w:hAnsi="Times New Roman" w:cs="Times New Roman"/>
          <w:sz w:val="28"/>
          <w:szCs w:val="28"/>
        </w:rPr>
        <w:t>3</w:t>
      </w:r>
      <w:r w:rsidR="00BD5582">
        <w:rPr>
          <w:rFonts w:ascii="Times New Roman" w:hAnsi="Times New Roman" w:cs="Times New Roman"/>
          <w:sz w:val="28"/>
          <w:szCs w:val="28"/>
        </w:rPr>
        <w:t>0</w:t>
      </w:r>
      <w:r w:rsidRPr="00FD138A"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Pr="00FF7DBB">
        <w:rPr>
          <w:rFonts w:ascii="Times New Roman" w:hAnsi="Times New Roman" w:cs="Times New Roman"/>
          <w:sz w:val="28"/>
          <w:szCs w:val="28"/>
        </w:rPr>
        <w:t xml:space="preserve">представлен на экспертизу в Контрольно-счетный комитет 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BD5582">
        <w:rPr>
          <w:rFonts w:ascii="Times New Roman" w:hAnsi="Times New Roman" w:cs="Times New Roman"/>
          <w:sz w:val="28"/>
          <w:szCs w:val="28"/>
        </w:rPr>
        <w:t xml:space="preserve">22 сентября </w:t>
      </w:r>
      <w:r w:rsidR="006F448D" w:rsidRPr="00FF7DBB">
        <w:rPr>
          <w:rFonts w:ascii="Times New Roman" w:hAnsi="Times New Roman" w:cs="Times New Roman"/>
          <w:sz w:val="28"/>
          <w:szCs w:val="28"/>
        </w:rPr>
        <w:t>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4C211D">
        <w:rPr>
          <w:rFonts w:ascii="Times New Roman" w:hAnsi="Times New Roman" w:cs="Times New Roman"/>
          <w:sz w:val="28"/>
          <w:szCs w:val="28"/>
        </w:rPr>
        <w:t>2</w:t>
      </w:r>
      <w:r w:rsidR="006F448D" w:rsidRPr="00FF7DBB">
        <w:rPr>
          <w:rFonts w:ascii="Times New Roman" w:hAnsi="Times New Roman" w:cs="Times New Roman"/>
          <w:sz w:val="28"/>
          <w:szCs w:val="28"/>
        </w:rPr>
        <w:t xml:space="preserve"> го</w:t>
      </w:r>
      <w:r w:rsidR="009D1335">
        <w:rPr>
          <w:rFonts w:ascii="Times New Roman" w:hAnsi="Times New Roman" w:cs="Times New Roman"/>
          <w:sz w:val="28"/>
          <w:szCs w:val="28"/>
        </w:rPr>
        <w:t>да</w:t>
      </w:r>
      <w:r w:rsidR="00F620FB">
        <w:rPr>
          <w:rFonts w:ascii="Times New Roman" w:hAnsi="Times New Roman" w:cs="Times New Roman"/>
          <w:sz w:val="28"/>
          <w:szCs w:val="28"/>
        </w:rPr>
        <w:t>.</w:t>
      </w:r>
    </w:p>
    <w:p w:rsidR="00183CAA" w:rsidRPr="00FF7DBB" w:rsidRDefault="006F448D" w:rsidP="005B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BB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</w:t>
      </w:r>
      <w:r w:rsidR="00051754">
        <w:rPr>
          <w:rFonts w:ascii="Times New Roman" w:hAnsi="Times New Roman" w:cs="Times New Roman"/>
          <w:sz w:val="28"/>
          <w:szCs w:val="28"/>
        </w:rPr>
        <w:t>ю</w:t>
      </w:r>
      <w:r w:rsidRPr="00FF7DBB">
        <w:rPr>
          <w:rFonts w:ascii="Times New Roman" w:hAnsi="Times New Roman" w:cs="Times New Roman"/>
          <w:sz w:val="28"/>
          <w:szCs w:val="28"/>
        </w:rPr>
        <w:t xml:space="preserve">тся </w:t>
      </w:r>
      <w:r w:rsidR="00051754">
        <w:rPr>
          <w:rFonts w:ascii="Times New Roman" w:hAnsi="Times New Roman" w:cs="Times New Roman"/>
          <w:sz w:val="28"/>
          <w:szCs w:val="28"/>
        </w:rPr>
        <w:t xml:space="preserve">к </w:t>
      </w:r>
      <w:r w:rsidRPr="00FF7DBB">
        <w:rPr>
          <w:rFonts w:ascii="Times New Roman" w:hAnsi="Times New Roman" w:cs="Times New Roman"/>
          <w:sz w:val="28"/>
          <w:szCs w:val="28"/>
        </w:rPr>
        <w:t>измен</w:t>
      </w:r>
      <w:r w:rsidR="00051754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FF7DBB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</w:t>
      </w:r>
      <w:r w:rsidR="006B47E5">
        <w:rPr>
          <w:rFonts w:ascii="Times New Roman" w:hAnsi="Times New Roman" w:cs="Times New Roman"/>
          <w:sz w:val="28"/>
          <w:szCs w:val="28"/>
        </w:rPr>
        <w:t>,</w:t>
      </w:r>
      <w:r w:rsidR="00183CAA" w:rsidRPr="00FF7DBB">
        <w:rPr>
          <w:rFonts w:ascii="Times New Roman" w:hAnsi="Times New Roman" w:cs="Times New Roman"/>
          <w:sz w:val="28"/>
          <w:szCs w:val="28"/>
        </w:rPr>
        <w:t xml:space="preserve"> </w:t>
      </w:r>
      <w:r w:rsidRPr="00FF7DBB">
        <w:rPr>
          <w:rFonts w:ascii="Times New Roman" w:hAnsi="Times New Roman" w:cs="Times New Roman"/>
          <w:sz w:val="28"/>
          <w:szCs w:val="28"/>
        </w:rPr>
        <w:t>принятые Решением Совета Сортавальского муниципального района «О бюджете Сортавальского муниципального района на 20</w:t>
      </w:r>
      <w:r w:rsidR="00051754">
        <w:rPr>
          <w:rFonts w:ascii="Times New Roman" w:hAnsi="Times New Roman" w:cs="Times New Roman"/>
          <w:sz w:val="28"/>
          <w:szCs w:val="28"/>
        </w:rPr>
        <w:t>2</w:t>
      </w:r>
      <w:r w:rsidR="00DF2020">
        <w:rPr>
          <w:rFonts w:ascii="Times New Roman" w:hAnsi="Times New Roman" w:cs="Times New Roman"/>
          <w:sz w:val="28"/>
          <w:szCs w:val="28"/>
        </w:rPr>
        <w:t>2</w:t>
      </w:r>
      <w:r w:rsidRPr="00FF7DBB">
        <w:rPr>
          <w:rFonts w:ascii="Times New Roman" w:hAnsi="Times New Roman" w:cs="Times New Roman"/>
          <w:sz w:val="28"/>
          <w:szCs w:val="28"/>
        </w:rPr>
        <w:t xml:space="preserve"> год</w:t>
      </w:r>
      <w:r w:rsidR="0090413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A5A8B">
        <w:rPr>
          <w:rFonts w:ascii="Times New Roman" w:hAnsi="Times New Roman" w:cs="Times New Roman"/>
          <w:sz w:val="28"/>
          <w:szCs w:val="28"/>
        </w:rPr>
        <w:t>2</w:t>
      </w:r>
      <w:r w:rsidR="00DF2020">
        <w:rPr>
          <w:rFonts w:ascii="Times New Roman" w:hAnsi="Times New Roman" w:cs="Times New Roman"/>
          <w:sz w:val="28"/>
          <w:szCs w:val="28"/>
        </w:rPr>
        <w:t>3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904130">
        <w:rPr>
          <w:rFonts w:ascii="Times New Roman" w:hAnsi="Times New Roman" w:cs="Times New Roman"/>
          <w:sz w:val="28"/>
          <w:szCs w:val="28"/>
        </w:rPr>
        <w:t>и 20</w:t>
      </w:r>
      <w:r w:rsidR="00A30EF8">
        <w:rPr>
          <w:rFonts w:ascii="Times New Roman" w:hAnsi="Times New Roman" w:cs="Times New Roman"/>
          <w:sz w:val="28"/>
          <w:szCs w:val="28"/>
        </w:rPr>
        <w:t>2</w:t>
      </w:r>
      <w:r w:rsidR="00DF2020">
        <w:rPr>
          <w:rFonts w:ascii="Times New Roman" w:hAnsi="Times New Roman" w:cs="Times New Roman"/>
          <w:sz w:val="28"/>
          <w:szCs w:val="28"/>
        </w:rPr>
        <w:t>4</w:t>
      </w:r>
      <w:r w:rsidR="0090413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DBB" w:rsidRPr="00FF7DBB">
        <w:rPr>
          <w:rFonts w:ascii="Times New Roman" w:hAnsi="Times New Roman" w:cs="Times New Roman"/>
          <w:sz w:val="28"/>
          <w:szCs w:val="28"/>
        </w:rPr>
        <w:t>»</w:t>
      </w:r>
      <w:r w:rsidR="001E3602">
        <w:rPr>
          <w:rFonts w:ascii="Times New Roman" w:hAnsi="Times New Roman" w:cs="Times New Roman"/>
          <w:sz w:val="28"/>
          <w:szCs w:val="28"/>
        </w:rPr>
        <w:t xml:space="preserve"> (</w:t>
      </w:r>
      <w:r w:rsidR="00051754">
        <w:rPr>
          <w:rFonts w:ascii="Times New Roman" w:hAnsi="Times New Roman" w:cs="Times New Roman"/>
          <w:sz w:val="28"/>
          <w:szCs w:val="28"/>
        </w:rPr>
        <w:t>далее – Решение о бюджете) с учетом ранее внесенных изменений</w:t>
      </w:r>
      <w:r w:rsidRPr="00FF7DBB">
        <w:rPr>
          <w:rFonts w:ascii="Times New Roman" w:hAnsi="Times New Roman" w:cs="Times New Roman"/>
          <w:sz w:val="28"/>
          <w:szCs w:val="28"/>
        </w:rPr>
        <w:t>, к которым, в соответствии с</w:t>
      </w:r>
      <w:r w:rsidR="00AA30D8">
        <w:rPr>
          <w:rFonts w:ascii="Times New Roman" w:hAnsi="Times New Roman" w:cs="Times New Roman"/>
          <w:sz w:val="28"/>
          <w:szCs w:val="28"/>
        </w:rPr>
        <w:t>о</w:t>
      </w:r>
      <w:r w:rsidRPr="00FF7DBB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расходов.</w:t>
      </w:r>
    </w:p>
    <w:p w:rsidR="00183CAA" w:rsidRPr="006B47E5" w:rsidRDefault="005B2A05" w:rsidP="005B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5C19" w:rsidRPr="006B47E5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55C19" w:rsidRPr="006B47E5">
        <w:rPr>
          <w:rFonts w:ascii="Times New Roman" w:hAnsi="Times New Roman" w:cs="Times New Roman"/>
          <w:sz w:val="28"/>
          <w:szCs w:val="28"/>
        </w:rPr>
        <w:t xml:space="preserve"> Решения вносятся следующие изменения в основные характеристики бюджета на 20</w:t>
      </w:r>
      <w:r w:rsidR="006B47E5" w:rsidRPr="006B47E5">
        <w:rPr>
          <w:rFonts w:ascii="Times New Roman" w:hAnsi="Times New Roman" w:cs="Times New Roman"/>
          <w:sz w:val="28"/>
          <w:szCs w:val="28"/>
        </w:rPr>
        <w:t>2</w:t>
      </w:r>
      <w:r w:rsidR="00635230">
        <w:rPr>
          <w:rFonts w:ascii="Times New Roman" w:hAnsi="Times New Roman" w:cs="Times New Roman"/>
          <w:sz w:val="28"/>
          <w:szCs w:val="28"/>
        </w:rPr>
        <w:t>2</w:t>
      </w:r>
      <w:r w:rsidR="00A55C19" w:rsidRPr="006B47E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A7B61" w:rsidRPr="006B47E5" w:rsidRDefault="002A7B61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6B47E5">
        <w:rPr>
          <w:rFonts w:ascii="Times New Roman" w:hAnsi="Times New Roman" w:cs="Times New Roman"/>
          <w:sz w:val="28"/>
          <w:szCs w:val="28"/>
        </w:rPr>
        <w:t xml:space="preserve">в целом по сравнению с утвержденным </w:t>
      </w:r>
      <w:r w:rsidRPr="00BD5582">
        <w:rPr>
          <w:rFonts w:ascii="Times New Roman" w:hAnsi="Times New Roman" w:cs="Times New Roman"/>
          <w:sz w:val="28"/>
          <w:szCs w:val="28"/>
        </w:rPr>
        <w:t>бюджетом</w:t>
      </w:r>
      <w:r w:rsidR="005B2A05">
        <w:rPr>
          <w:rFonts w:ascii="Times New Roman" w:hAnsi="Times New Roman" w:cs="Times New Roman"/>
          <w:sz w:val="28"/>
          <w:szCs w:val="28"/>
        </w:rPr>
        <w:t>,</w:t>
      </w:r>
      <w:r w:rsidRPr="00BD5582">
        <w:rPr>
          <w:rFonts w:ascii="Times New Roman" w:hAnsi="Times New Roman" w:cs="Times New Roman"/>
          <w:sz w:val="28"/>
          <w:szCs w:val="28"/>
        </w:rPr>
        <w:t xml:space="preserve"> </w:t>
      </w:r>
      <w:r w:rsidR="00BD5582" w:rsidRPr="00BD5582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5B2A05">
        <w:rPr>
          <w:rFonts w:ascii="Times New Roman" w:hAnsi="Times New Roman" w:cs="Times New Roman"/>
          <w:sz w:val="28"/>
          <w:szCs w:val="28"/>
        </w:rPr>
        <w:t>,</w:t>
      </w:r>
      <w:r w:rsidR="00BD5582" w:rsidRPr="00BD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7E5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BD5582">
        <w:rPr>
          <w:rFonts w:ascii="Times New Roman" w:hAnsi="Times New Roman" w:cs="Times New Roman"/>
          <w:sz w:val="28"/>
          <w:szCs w:val="28"/>
        </w:rPr>
        <w:t>230 975,98</w:t>
      </w:r>
      <w:r w:rsidR="00910A46" w:rsidRPr="006B47E5">
        <w:rPr>
          <w:rFonts w:ascii="Times New Roman" w:hAnsi="Times New Roman" w:cs="Times New Roman"/>
          <w:sz w:val="28"/>
          <w:szCs w:val="28"/>
        </w:rPr>
        <w:t xml:space="preserve"> </w:t>
      </w:r>
      <w:r w:rsidR="00A14928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917EE4">
        <w:rPr>
          <w:rFonts w:ascii="Times New Roman" w:hAnsi="Times New Roman" w:cs="Times New Roman"/>
          <w:sz w:val="28"/>
          <w:szCs w:val="28"/>
        </w:rPr>
        <w:t>.</w:t>
      </w:r>
      <w:r w:rsidR="002A7B99">
        <w:rPr>
          <w:rFonts w:ascii="Times New Roman" w:hAnsi="Times New Roman" w:cs="Times New Roman"/>
          <w:sz w:val="28"/>
          <w:szCs w:val="28"/>
        </w:rPr>
        <w:t xml:space="preserve">, </w:t>
      </w:r>
      <w:r w:rsidR="00D8758B" w:rsidRPr="006B47E5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увеличатся на </w:t>
      </w:r>
      <w:r w:rsidR="00BD5582">
        <w:rPr>
          <w:rFonts w:ascii="Times New Roman" w:hAnsi="Times New Roman" w:cs="Times New Roman"/>
          <w:sz w:val="28"/>
          <w:szCs w:val="28"/>
        </w:rPr>
        <w:t>189 648,0</w:t>
      </w:r>
      <w:r w:rsidR="00512A27">
        <w:rPr>
          <w:rFonts w:ascii="Times New Roman" w:hAnsi="Times New Roman" w:cs="Times New Roman"/>
          <w:sz w:val="28"/>
          <w:szCs w:val="28"/>
        </w:rPr>
        <w:t xml:space="preserve"> </w:t>
      </w:r>
      <w:r w:rsidR="00A77CA4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A30EF8" w:rsidRPr="006B47E5">
        <w:rPr>
          <w:rFonts w:ascii="Times New Roman" w:hAnsi="Times New Roman" w:cs="Times New Roman"/>
          <w:sz w:val="28"/>
          <w:szCs w:val="28"/>
        </w:rPr>
        <w:t>.</w:t>
      </w:r>
      <w:r w:rsidR="0045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8B" w:rsidRPr="006B47E5" w:rsidRDefault="00525B48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A7B61" w:rsidRPr="006B47E5">
        <w:rPr>
          <w:rFonts w:ascii="Times New Roman" w:hAnsi="Times New Roman" w:cs="Times New Roman"/>
          <w:b/>
          <w:sz w:val="28"/>
          <w:szCs w:val="28"/>
          <w:u w:val="single"/>
        </w:rPr>
        <w:t>расходы бюджета</w:t>
      </w:r>
      <w:r w:rsidR="002A7B61" w:rsidRPr="006B47E5"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</w:t>
      </w:r>
      <w:r w:rsidR="005B2A05">
        <w:rPr>
          <w:rFonts w:ascii="Times New Roman" w:hAnsi="Times New Roman" w:cs="Times New Roman"/>
          <w:sz w:val="28"/>
          <w:szCs w:val="28"/>
        </w:rPr>
        <w:t>,</w:t>
      </w:r>
      <w:r w:rsidR="002A7B61" w:rsidRPr="006B47E5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BD5582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5B2A05">
        <w:rPr>
          <w:rFonts w:ascii="Times New Roman" w:hAnsi="Times New Roman" w:cs="Times New Roman"/>
          <w:sz w:val="28"/>
          <w:szCs w:val="28"/>
        </w:rPr>
        <w:t>,</w:t>
      </w:r>
      <w:r w:rsidR="00CB4964" w:rsidRPr="006B47E5">
        <w:rPr>
          <w:rFonts w:ascii="Times New Roman" w:hAnsi="Times New Roman" w:cs="Times New Roman"/>
          <w:sz w:val="28"/>
          <w:szCs w:val="28"/>
        </w:rPr>
        <w:t xml:space="preserve"> </w:t>
      </w:r>
      <w:r w:rsidR="002A7B61" w:rsidRPr="006B47E5">
        <w:rPr>
          <w:rFonts w:ascii="Times New Roman" w:hAnsi="Times New Roman" w:cs="Times New Roman"/>
          <w:sz w:val="28"/>
          <w:szCs w:val="28"/>
        </w:rPr>
        <w:t>увеличива</w:t>
      </w:r>
      <w:r w:rsidR="00AA5A8B" w:rsidRPr="006B47E5">
        <w:rPr>
          <w:rFonts w:ascii="Times New Roman" w:hAnsi="Times New Roman" w:cs="Times New Roman"/>
          <w:sz w:val="28"/>
          <w:szCs w:val="28"/>
        </w:rPr>
        <w:t>ю</w:t>
      </w:r>
      <w:r w:rsidR="002A7B61" w:rsidRPr="006B47E5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CB4964">
        <w:rPr>
          <w:rFonts w:ascii="Times New Roman" w:hAnsi="Times New Roman" w:cs="Times New Roman"/>
          <w:sz w:val="28"/>
          <w:szCs w:val="28"/>
        </w:rPr>
        <w:t>230 975,98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A14928" w:rsidRPr="006B47E5">
        <w:rPr>
          <w:rFonts w:ascii="Times New Roman" w:hAnsi="Times New Roman" w:cs="Times New Roman"/>
          <w:sz w:val="28"/>
          <w:szCs w:val="28"/>
        </w:rPr>
        <w:t>тыс. руб</w:t>
      </w:r>
      <w:r w:rsidR="00512A27">
        <w:rPr>
          <w:rFonts w:ascii="Times New Roman" w:hAnsi="Times New Roman" w:cs="Times New Roman"/>
          <w:sz w:val="28"/>
          <w:szCs w:val="28"/>
        </w:rPr>
        <w:t>.</w:t>
      </w:r>
      <w:r w:rsidR="00A30EF8" w:rsidRPr="006B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61" w:rsidRDefault="00D8758B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="005B2A05">
        <w:rPr>
          <w:rFonts w:ascii="Times New Roman" w:hAnsi="Times New Roman" w:cs="Times New Roman"/>
          <w:sz w:val="28"/>
          <w:szCs w:val="28"/>
        </w:rPr>
        <w:t xml:space="preserve">предлагается оставить в утвержденных объемах, он </w:t>
      </w:r>
      <w:r w:rsidR="000E3986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463A9D">
        <w:rPr>
          <w:rFonts w:ascii="Times New Roman" w:hAnsi="Times New Roman" w:cs="Times New Roman"/>
          <w:sz w:val="28"/>
          <w:szCs w:val="28"/>
        </w:rPr>
        <w:t>30 298,7</w:t>
      </w:r>
      <w:r w:rsidR="00CB496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134F9">
        <w:rPr>
          <w:rFonts w:ascii="Times New Roman" w:hAnsi="Times New Roman" w:cs="Times New Roman"/>
          <w:sz w:val="28"/>
          <w:szCs w:val="28"/>
        </w:rPr>
        <w:t>.</w:t>
      </w:r>
    </w:p>
    <w:p w:rsidR="00C802B6" w:rsidRDefault="0095256B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802B6" w:rsidRPr="00D7393B">
        <w:rPr>
          <w:rFonts w:ascii="Times New Roman" w:hAnsi="Times New Roman" w:cs="Times New Roman"/>
          <w:b/>
          <w:sz w:val="28"/>
          <w:szCs w:val="28"/>
          <w:u w:val="single"/>
        </w:rPr>
        <w:t>верхний предел муниципального внутреннего долга</w:t>
      </w:r>
      <w:r w:rsidR="005F1B1C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3102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Сортавальского муниципального района </w:t>
      </w:r>
      <w:r w:rsidR="005F1B1C" w:rsidRPr="00D7393B">
        <w:rPr>
          <w:rFonts w:ascii="Times New Roman" w:hAnsi="Times New Roman" w:cs="Times New Roman"/>
          <w:sz w:val="28"/>
          <w:szCs w:val="28"/>
        </w:rPr>
        <w:t>на</w:t>
      </w:r>
      <w:r w:rsidR="00C802B6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5F1B1C" w:rsidRPr="00D7393B">
        <w:rPr>
          <w:rFonts w:ascii="Times New Roman" w:hAnsi="Times New Roman" w:cs="Times New Roman"/>
          <w:sz w:val="28"/>
          <w:szCs w:val="28"/>
        </w:rPr>
        <w:t>1 января 20</w:t>
      </w:r>
      <w:r w:rsidR="004659B2" w:rsidRPr="00D7393B">
        <w:rPr>
          <w:rFonts w:ascii="Times New Roman" w:hAnsi="Times New Roman" w:cs="Times New Roman"/>
          <w:sz w:val="28"/>
          <w:szCs w:val="28"/>
        </w:rPr>
        <w:t>2</w:t>
      </w:r>
      <w:r w:rsidR="00B8657F">
        <w:rPr>
          <w:rFonts w:ascii="Times New Roman" w:hAnsi="Times New Roman" w:cs="Times New Roman"/>
          <w:sz w:val="28"/>
          <w:szCs w:val="28"/>
        </w:rPr>
        <w:t>3</w:t>
      </w:r>
      <w:r w:rsidR="005F1B1C" w:rsidRPr="00D739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102" w:rsidRPr="00D7393B">
        <w:rPr>
          <w:rFonts w:ascii="Times New Roman" w:hAnsi="Times New Roman" w:cs="Times New Roman"/>
          <w:sz w:val="28"/>
          <w:szCs w:val="28"/>
        </w:rPr>
        <w:t>, в валюте РФ</w:t>
      </w:r>
      <w:r w:rsidR="005F1B1C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5B2A05">
        <w:rPr>
          <w:rFonts w:ascii="Times New Roman" w:hAnsi="Times New Roman" w:cs="Times New Roman"/>
          <w:sz w:val="28"/>
          <w:szCs w:val="28"/>
        </w:rPr>
        <w:t>не предлагается к изменению и</w:t>
      </w:r>
      <w:r w:rsidR="00CB496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917EE4">
        <w:rPr>
          <w:rFonts w:ascii="Times New Roman" w:hAnsi="Times New Roman" w:cs="Times New Roman"/>
          <w:sz w:val="28"/>
          <w:szCs w:val="28"/>
        </w:rPr>
        <w:t xml:space="preserve"> </w:t>
      </w:r>
      <w:r w:rsidR="00CB4964">
        <w:rPr>
          <w:rFonts w:ascii="Times New Roman" w:hAnsi="Times New Roman" w:cs="Times New Roman"/>
          <w:sz w:val="28"/>
          <w:szCs w:val="28"/>
        </w:rPr>
        <w:t>188 769</w:t>
      </w:r>
      <w:r w:rsidR="00B8657F">
        <w:rPr>
          <w:rFonts w:ascii="Times New Roman" w:hAnsi="Times New Roman" w:cs="Times New Roman"/>
          <w:sz w:val="28"/>
          <w:szCs w:val="28"/>
        </w:rPr>
        <w:t>,0</w:t>
      </w:r>
      <w:r w:rsidR="00917EE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17DB">
        <w:rPr>
          <w:rFonts w:ascii="Times New Roman" w:hAnsi="Times New Roman" w:cs="Times New Roman"/>
          <w:sz w:val="28"/>
          <w:szCs w:val="28"/>
        </w:rPr>
        <w:t>,</w:t>
      </w:r>
      <w:r w:rsidR="000E3986">
        <w:rPr>
          <w:rFonts w:ascii="Times New Roman" w:hAnsi="Times New Roman" w:cs="Times New Roman"/>
          <w:sz w:val="28"/>
          <w:szCs w:val="28"/>
        </w:rPr>
        <w:t xml:space="preserve"> </w:t>
      </w:r>
      <w:r w:rsidR="002917DB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Сортавальского муниципального района в валюте Российской Федерации в сумме 0 руб.</w:t>
      </w:r>
    </w:p>
    <w:p w:rsidR="00F1689D" w:rsidRPr="00D7393B" w:rsidRDefault="00F1689D" w:rsidP="005B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F48" w:rsidRDefault="00904130" w:rsidP="005B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3B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741B2A" w:rsidRPr="00D7393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7393B">
        <w:rPr>
          <w:rFonts w:ascii="Times New Roman" w:hAnsi="Times New Roman" w:cs="Times New Roman"/>
          <w:sz w:val="28"/>
          <w:szCs w:val="28"/>
        </w:rPr>
        <w:t>предлагается внесение изменений в основные характеристики бюджета на плановый период 20</w:t>
      </w:r>
      <w:r w:rsidR="00AA5A8B" w:rsidRPr="00D7393B">
        <w:rPr>
          <w:rFonts w:ascii="Times New Roman" w:hAnsi="Times New Roman" w:cs="Times New Roman"/>
          <w:sz w:val="28"/>
          <w:szCs w:val="28"/>
        </w:rPr>
        <w:t>2</w:t>
      </w:r>
      <w:r w:rsidR="00B8657F">
        <w:rPr>
          <w:rFonts w:ascii="Times New Roman" w:hAnsi="Times New Roman" w:cs="Times New Roman"/>
          <w:sz w:val="28"/>
          <w:szCs w:val="28"/>
        </w:rPr>
        <w:t>3</w:t>
      </w:r>
      <w:r w:rsidRPr="00D7393B">
        <w:rPr>
          <w:rFonts w:ascii="Times New Roman" w:hAnsi="Times New Roman" w:cs="Times New Roman"/>
          <w:sz w:val="28"/>
          <w:szCs w:val="28"/>
        </w:rPr>
        <w:t xml:space="preserve"> год</w:t>
      </w:r>
      <w:r w:rsidR="00CB4964">
        <w:rPr>
          <w:rFonts w:ascii="Times New Roman" w:hAnsi="Times New Roman" w:cs="Times New Roman"/>
          <w:sz w:val="28"/>
          <w:szCs w:val="28"/>
        </w:rPr>
        <w:t>а</w:t>
      </w:r>
      <w:r w:rsidRPr="00D7393B">
        <w:rPr>
          <w:rFonts w:ascii="Times New Roman" w:hAnsi="Times New Roman" w:cs="Times New Roman"/>
          <w:sz w:val="28"/>
          <w:szCs w:val="28"/>
        </w:rPr>
        <w:t>.</w:t>
      </w:r>
      <w:r w:rsidR="00280F48" w:rsidRPr="00D73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A5F" w:rsidRDefault="0095256B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917DB" w:rsidRPr="006B47E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доходы бюджета </w:t>
      </w:r>
      <w:r w:rsidR="002917DB" w:rsidRPr="006B47E5">
        <w:rPr>
          <w:rFonts w:ascii="Times New Roman" w:hAnsi="Times New Roman" w:cs="Times New Roman"/>
          <w:sz w:val="28"/>
          <w:szCs w:val="28"/>
        </w:rPr>
        <w:t xml:space="preserve">по сравнению с утвержденным </w:t>
      </w:r>
      <w:r w:rsidR="002917DB" w:rsidRPr="00813843">
        <w:rPr>
          <w:rFonts w:ascii="Times New Roman" w:hAnsi="Times New Roman" w:cs="Times New Roman"/>
          <w:sz w:val="28"/>
          <w:szCs w:val="28"/>
        </w:rPr>
        <w:t>бюджетом</w:t>
      </w:r>
      <w:r w:rsidR="005B2A05">
        <w:rPr>
          <w:rFonts w:ascii="Times New Roman" w:hAnsi="Times New Roman" w:cs="Times New Roman"/>
          <w:sz w:val="28"/>
          <w:szCs w:val="28"/>
        </w:rPr>
        <w:t>,</w:t>
      </w:r>
      <w:r w:rsidR="005F7A5F" w:rsidRPr="00813843">
        <w:rPr>
          <w:rFonts w:ascii="Times New Roman" w:hAnsi="Times New Roman" w:cs="Times New Roman"/>
          <w:sz w:val="28"/>
          <w:szCs w:val="28"/>
        </w:rPr>
        <w:t xml:space="preserve"> </w:t>
      </w:r>
      <w:r w:rsidR="00813843" w:rsidRPr="0081384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5B2A05">
        <w:rPr>
          <w:rFonts w:ascii="Times New Roman" w:hAnsi="Times New Roman" w:cs="Times New Roman"/>
          <w:sz w:val="28"/>
          <w:szCs w:val="28"/>
        </w:rPr>
        <w:t>,</w:t>
      </w:r>
      <w:r w:rsidR="00813843" w:rsidRPr="00581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964">
        <w:rPr>
          <w:rFonts w:ascii="Times New Roman" w:hAnsi="Times New Roman" w:cs="Times New Roman"/>
          <w:sz w:val="28"/>
          <w:szCs w:val="28"/>
        </w:rPr>
        <w:t>сокращ</w:t>
      </w:r>
      <w:r w:rsidR="002917DB" w:rsidRPr="006B47E5">
        <w:rPr>
          <w:rFonts w:ascii="Times New Roman" w:hAnsi="Times New Roman" w:cs="Times New Roman"/>
          <w:sz w:val="28"/>
          <w:szCs w:val="28"/>
        </w:rPr>
        <w:t xml:space="preserve">аются на </w:t>
      </w:r>
      <w:r w:rsidR="00813843">
        <w:rPr>
          <w:rFonts w:ascii="Times New Roman" w:hAnsi="Times New Roman" w:cs="Times New Roman"/>
          <w:sz w:val="28"/>
          <w:szCs w:val="28"/>
        </w:rPr>
        <w:t>132 556,2</w:t>
      </w:r>
      <w:r w:rsidR="000E398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17DB" w:rsidRPr="006B47E5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</w:t>
      </w:r>
      <w:r w:rsidR="00CB4964">
        <w:rPr>
          <w:rFonts w:ascii="Times New Roman" w:hAnsi="Times New Roman" w:cs="Times New Roman"/>
          <w:sz w:val="28"/>
          <w:szCs w:val="28"/>
        </w:rPr>
        <w:t>сокращ</w:t>
      </w:r>
      <w:r w:rsidR="00CB4964" w:rsidRPr="006B47E5">
        <w:rPr>
          <w:rFonts w:ascii="Times New Roman" w:hAnsi="Times New Roman" w:cs="Times New Roman"/>
          <w:sz w:val="28"/>
          <w:szCs w:val="28"/>
        </w:rPr>
        <w:t>аются</w:t>
      </w:r>
      <w:r w:rsidR="002917DB" w:rsidRPr="006B47E5">
        <w:rPr>
          <w:rFonts w:ascii="Times New Roman" w:hAnsi="Times New Roman" w:cs="Times New Roman"/>
          <w:sz w:val="28"/>
          <w:szCs w:val="28"/>
        </w:rPr>
        <w:t xml:space="preserve"> на </w:t>
      </w:r>
      <w:r w:rsidR="00813843">
        <w:rPr>
          <w:rFonts w:ascii="Times New Roman" w:hAnsi="Times New Roman" w:cs="Times New Roman"/>
          <w:sz w:val="28"/>
          <w:szCs w:val="28"/>
        </w:rPr>
        <w:t xml:space="preserve">132 556,2 </w:t>
      </w:r>
      <w:r w:rsidR="000E3986">
        <w:rPr>
          <w:rFonts w:ascii="Times New Roman" w:hAnsi="Times New Roman" w:cs="Times New Roman"/>
          <w:sz w:val="28"/>
          <w:szCs w:val="28"/>
        </w:rPr>
        <w:t>тыс. руб.</w:t>
      </w:r>
      <w:r w:rsidR="0029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E6" w:rsidRDefault="0095256B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606E6" w:rsidRPr="00D5329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расходы бюджета </w:t>
      </w:r>
      <w:r w:rsidR="003606E6" w:rsidRPr="006B47E5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</w:t>
      </w:r>
      <w:r w:rsidR="005F7A5F">
        <w:rPr>
          <w:rFonts w:ascii="Times New Roman" w:hAnsi="Times New Roman" w:cs="Times New Roman"/>
          <w:sz w:val="28"/>
          <w:szCs w:val="28"/>
        </w:rPr>
        <w:t xml:space="preserve"> </w:t>
      </w:r>
      <w:r w:rsidR="00581644" w:rsidRPr="0081384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581644" w:rsidRPr="00581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644">
        <w:rPr>
          <w:rFonts w:ascii="Times New Roman" w:hAnsi="Times New Roman" w:cs="Times New Roman"/>
          <w:sz w:val="28"/>
          <w:szCs w:val="28"/>
        </w:rPr>
        <w:t>сокращ</w:t>
      </w:r>
      <w:r w:rsidR="00581644" w:rsidRPr="006B47E5">
        <w:rPr>
          <w:rFonts w:ascii="Times New Roman" w:hAnsi="Times New Roman" w:cs="Times New Roman"/>
          <w:sz w:val="28"/>
          <w:szCs w:val="28"/>
        </w:rPr>
        <w:t>аются</w:t>
      </w:r>
      <w:r w:rsidR="003606E6" w:rsidRPr="006B47E5">
        <w:rPr>
          <w:rFonts w:ascii="Times New Roman" w:hAnsi="Times New Roman" w:cs="Times New Roman"/>
          <w:sz w:val="28"/>
          <w:szCs w:val="28"/>
        </w:rPr>
        <w:t xml:space="preserve"> на </w:t>
      </w:r>
      <w:r w:rsidR="00581644">
        <w:rPr>
          <w:rFonts w:ascii="Times New Roman" w:hAnsi="Times New Roman" w:cs="Times New Roman"/>
          <w:sz w:val="28"/>
          <w:szCs w:val="28"/>
        </w:rPr>
        <w:t>132 556,2 тыс. руб</w:t>
      </w:r>
      <w:r w:rsidR="002E3D72">
        <w:rPr>
          <w:rFonts w:ascii="Times New Roman" w:hAnsi="Times New Roman" w:cs="Times New Roman"/>
          <w:sz w:val="28"/>
          <w:szCs w:val="28"/>
        </w:rPr>
        <w:t>.</w:t>
      </w:r>
    </w:p>
    <w:p w:rsidR="003606E6" w:rsidRDefault="0095256B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606E6" w:rsidRPr="00D7393B">
        <w:rPr>
          <w:rFonts w:ascii="Times New Roman" w:hAnsi="Times New Roman" w:cs="Times New Roman"/>
          <w:b/>
          <w:sz w:val="28"/>
          <w:szCs w:val="28"/>
          <w:u w:val="single"/>
        </w:rPr>
        <w:t>дефицит бюджета</w:t>
      </w:r>
      <w:r w:rsidR="003606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78F2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2E3D72">
        <w:rPr>
          <w:rFonts w:ascii="Times New Roman" w:hAnsi="Times New Roman" w:cs="Times New Roman"/>
          <w:sz w:val="28"/>
          <w:szCs w:val="28"/>
        </w:rPr>
        <w:t>3</w:t>
      </w:r>
      <w:r w:rsidR="002778F2">
        <w:rPr>
          <w:rFonts w:ascii="Times New Roman" w:hAnsi="Times New Roman" w:cs="Times New Roman"/>
          <w:sz w:val="28"/>
          <w:szCs w:val="28"/>
        </w:rPr>
        <w:t xml:space="preserve"> </w:t>
      </w:r>
      <w:r w:rsidR="00581644">
        <w:rPr>
          <w:rFonts w:ascii="Times New Roman" w:hAnsi="Times New Roman" w:cs="Times New Roman"/>
          <w:sz w:val="28"/>
          <w:szCs w:val="28"/>
        </w:rPr>
        <w:t xml:space="preserve">года </w:t>
      </w:r>
      <w:r w:rsidR="002778F2">
        <w:rPr>
          <w:rFonts w:ascii="Times New Roman" w:hAnsi="Times New Roman" w:cs="Times New Roman"/>
          <w:sz w:val="28"/>
          <w:szCs w:val="28"/>
        </w:rPr>
        <w:t>предлагается оставить в утвержденных объемах.</w:t>
      </w:r>
    </w:p>
    <w:p w:rsidR="002778F2" w:rsidRDefault="0095256B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778F2" w:rsidRPr="00D7393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верхний предел муниципального внутреннего долга Сортавальского муниципального района </w:t>
      </w:r>
      <w:r w:rsidR="002778F2" w:rsidRPr="00D7393B">
        <w:rPr>
          <w:rFonts w:ascii="Times New Roman" w:hAnsi="Times New Roman" w:cs="Times New Roman"/>
          <w:sz w:val="28"/>
          <w:szCs w:val="28"/>
        </w:rPr>
        <w:t>на 1 января 202</w:t>
      </w:r>
      <w:r w:rsidR="002A3DF0">
        <w:rPr>
          <w:rFonts w:ascii="Times New Roman" w:hAnsi="Times New Roman" w:cs="Times New Roman"/>
          <w:sz w:val="28"/>
          <w:szCs w:val="28"/>
        </w:rPr>
        <w:t>4</w:t>
      </w:r>
      <w:r w:rsidR="002778F2" w:rsidRPr="00D7393B">
        <w:rPr>
          <w:rFonts w:ascii="Times New Roman" w:hAnsi="Times New Roman" w:cs="Times New Roman"/>
          <w:sz w:val="28"/>
          <w:szCs w:val="28"/>
        </w:rPr>
        <w:t xml:space="preserve"> года, в валюте РФ по ср</w:t>
      </w:r>
      <w:r w:rsidR="002A3DF0">
        <w:rPr>
          <w:rFonts w:ascii="Times New Roman" w:hAnsi="Times New Roman" w:cs="Times New Roman"/>
          <w:sz w:val="28"/>
          <w:szCs w:val="28"/>
        </w:rPr>
        <w:t>авнению с утвержденным бюджетом</w:t>
      </w:r>
      <w:r w:rsidR="002778F2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581644" w:rsidRPr="0081384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581644" w:rsidRPr="00581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644">
        <w:rPr>
          <w:rFonts w:ascii="Times New Roman" w:hAnsi="Times New Roman" w:cs="Times New Roman"/>
          <w:sz w:val="28"/>
          <w:szCs w:val="28"/>
        </w:rPr>
        <w:t xml:space="preserve">не </w:t>
      </w:r>
      <w:r w:rsidR="00F1689D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</w:t>
      </w:r>
      <w:r w:rsidR="00581644">
        <w:rPr>
          <w:rFonts w:ascii="Times New Roman" w:hAnsi="Times New Roman" w:cs="Times New Roman"/>
          <w:sz w:val="28"/>
          <w:szCs w:val="28"/>
        </w:rPr>
        <w:t>к изменению, он составит 185 865,0</w:t>
      </w:r>
      <w:r w:rsidR="00D53295">
        <w:rPr>
          <w:rFonts w:ascii="Times New Roman" w:hAnsi="Times New Roman" w:cs="Times New Roman"/>
          <w:sz w:val="28"/>
          <w:szCs w:val="28"/>
        </w:rPr>
        <w:t xml:space="preserve"> </w:t>
      </w:r>
      <w:r w:rsidR="00581644">
        <w:rPr>
          <w:rFonts w:ascii="Times New Roman" w:hAnsi="Times New Roman" w:cs="Times New Roman"/>
          <w:sz w:val="28"/>
          <w:szCs w:val="28"/>
        </w:rPr>
        <w:t>тыс. руб.,</w:t>
      </w:r>
      <w:r w:rsidR="002778F2">
        <w:rPr>
          <w:rFonts w:ascii="Times New Roman" w:hAnsi="Times New Roman" w:cs="Times New Roman"/>
          <w:sz w:val="28"/>
          <w:szCs w:val="28"/>
        </w:rPr>
        <w:t xml:space="preserve"> в том числе верхний предел долга по муниципальным гарантиям Сортавальского муниципального района в валюте Российской Федерации в сумме 0 руб. на каждый год планового периода.</w:t>
      </w:r>
    </w:p>
    <w:p w:rsidR="00581644" w:rsidRDefault="00581644" w:rsidP="00AA4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Представленным проектом не предлагается внесение изменений в основные характеристики бюджета на плановый период 2024 года. </w:t>
      </w:r>
    </w:p>
    <w:p w:rsidR="00D160A1" w:rsidRPr="00D7393B" w:rsidRDefault="00D160A1" w:rsidP="005B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B1C" w:rsidRPr="005F1B1C" w:rsidRDefault="00B21A6D" w:rsidP="005F1B1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5F1B1C"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оходы</w:t>
      </w:r>
    </w:p>
    <w:p w:rsidR="00591DBC" w:rsidRDefault="005F1B1C" w:rsidP="00AA4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изменениям, 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предлагаемым к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внесен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района, доходная часть на 20</w:t>
      </w:r>
      <w:r w:rsidR="00D7393B" w:rsidRPr="00D739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2A3F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год увелич</w:t>
      </w:r>
      <w:r w:rsidR="00280F48" w:rsidRPr="00D7393B">
        <w:rPr>
          <w:rFonts w:ascii="Times New Roman" w:eastAsia="Times New Roman" w:hAnsi="Times New Roman"/>
          <w:sz w:val="28"/>
          <w:szCs w:val="28"/>
          <w:lang w:eastAsia="ru-RU"/>
        </w:rPr>
        <w:t>ится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346C4">
        <w:rPr>
          <w:rFonts w:ascii="Times New Roman" w:hAnsi="Times New Roman" w:cs="Times New Roman"/>
          <w:sz w:val="28"/>
          <w:szCs w:val="28"/>
        </w:rPr>
        <w:t>230 975,9</w:t>
      </w:r>
      <w:r w:rsidR="00D52E92" w:rsidRPr="00D7393B">
        <w:rPr>
          <w:rFonts w:ascii="Times New Roman" w:hAnsi="Times New Roman" w:cs="Times New Roman"/>
          <w:sz w:val="28"/>
          <w:szCs w:val="28"/>
        </w:rPr>
        <w:t xml:space="preserve"> </w:t>
      </w:r>
      <w:r w:rsidR="00CF2801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</w:t>
      </w:r>
      <w:r w:rsidR="000157B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утвержденным бюджетом</w:t>
      </w:r>
      <w:r w:rsidR="008346C4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ранее внесенных изменений</w:t>
      </w:r>
      <w:r w:rsidR="00D53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и состав</w:t>
      </w:r>
      <w:r w:rsidR="00892942" w:rsidRPr="00D739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AA4166">
        <w:rPr>
          <w:rFonts w:ascii="Times New Roman" w:eastAsia="Times New Roman" w:hAnsi="Times New Roman"/>
          <w:sz w:val="28"/>
          <w:szCs w:val="28"/>
          <w:lang w:eastAsia="ru-RU"/>
        </w:rPr>
        <w:t>1 644 998,</w:t>
      </w:r>
      <w:r w:rsidR="008346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393B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660902"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93B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:rsidR="003606E6" w:rsidRPr="00F03AB3" w:rsidRDefault="003606E6" w:rsidP="00AA4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202</w:t>
      </w:r>
      <w:r w:rsidR="00305C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346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доходная часть </w:t>
      </w:r>
      <w:r w:rsidR="008346C4">
        <w:rPr>
          <w:rFonts w:ascii="Times New Roman" w:eastAsia="Times New Roman" w:hAnsi="Times New Roman"/>
          <w:sz w:val="28"/>
          <w:szCs w:val="28"/>
          <w:lang w:eastAsia="ru-RU"/>
        </w:rPr>
        <w:t>сократи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5220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CB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D53295" w:rsidRPr="00D7393B">
        <w:rPr>
          <w:rFonts w:ascii="Times New Roman" w:eastAsia="Times New Roman" w:hAnsi="Times New Roman"/>
          <w:sz w:val="28"/>
          <w:szCs w:val="28"/>
          <w:lang w:eastAsia="ru-RU"/>
        </w:rPr>
        <w:t>утвержденным бюджетом</w:t>
      </w:r>
      <w:r w:rsidR="008346C4" w:rsidRPr="008346C4">
        <w:rPr>
          <w:rFonts w:ascii="Times New Roman" w:hAnsi="Times New Roman" w:cs="Times New Roman"/>
          <w:sz w:val="28"/>
          <w:szCs w:val="28"/>
        </w:rPr>
        <w:t xml:space="preserve"> </w:t>
      </w:r>
      <w:r w:rsidR="008346C4" w:rsidRPr="0081384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F41F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346C4">
        <w:rPr>
          <w:rFonts w:ascii="Times New Roman" w:eastAsia="Times New Roman" w:hAnsi="Times New Roman"/>
          <w:sz w:val="28"/>
          <w:szCs w:val="28"/>
          <w:lang w:eastAsia="ru-RU"/>
        </w:rPr>
        <w:t>132 556,2</w:t>
      </w:r>
      <w:r w:rsidR="008F41F3" w:rsidRPr="006B47E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41F3">
        <w:rPr>
          <w:rFonts w:ascii="Times New Roman" w:hAnsi="Times New Roman" w:cs="Times New Roman"/>
          <w:sz w:val="28"/>
          <w:szCs w:val="28"/>
        </w:rPr>
        <w:t xml:space="preserve">. и </w:t>
      </w:r>
      <w:r w:rsidR="008F41F3" w:rsidRPr="00F03AB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5270B">
        <w:rPr>
          <w:rFonts w:ascii="Times New Roman" w:hAnsi="Times New Roman" w:cs="Times New Roman"/>
          <w:sz w:val="28"/>
          <w:szCs w:val="28"/>
        </w:rPr>
        <w:t>983 111,3</w:t>
      </w:r>
      <w:r w:rsidR="006A2B1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F41F3" w:rsidRPr="00F03AB3">
        <w:rPr>
          <w:rFonts w:ascii="Times New Roman" w:hAnsi="Times New Roman" w:cs="Times New Roman"/>
          <w:sz w:val="28"/>
          <w:szCs w:val="28"/>
        </w:rPr>
        <w:t>.</w:t>
      </w:r>
    </w:p>
    <w:p w:rsidR="005F1B1C" w:rsidRDefault="005F1B1C" w:rsidP="00AA41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r w:rsidR="00660902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</w:t>
      </w:r>
      <w:r w:rsidR="00555FE7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</w:t>
      </w:r>
      <w:r w:rsidR="00280F48"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йдет</w:t>
      </w:r>
      <w:r w:rsidRPr="00D7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счет: </w:t>
      </w:r>
    </w:p>
    <w:p w:rsidR="00555FE7" w:rsidRPr="00F1689D" w:rsidRDefault="00305CB2" w:rsidP="00555FE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</w:t>
      </w:r>
      <w:r w:rsidR="00555FE7"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F81F53"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55FE7"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</w:t>
      </w:r>
      <w:r w:rsid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55FE7" w:rsidRPr="00F168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tbl>
      <w:tblPr>
        <w:tblStyle w:val="a4"/>
        <w:tblW w:w="9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850"/>
        <w:gridCol w:w="851"/>
        <w:gridCol w:w="850"/>
        <w:gridCol w:w="992"/>
        <w:gridCol w:w="1134"/>
        <w:gridCol w:w="851"/>
        <w:gridCol w:w="992"/>
        <w:gridCol w:w="851"/>
        <w:gridCol w:w="567"/>
      </w:tblGrid>
      <w:tr w:rsidR="0089783B" w:rsidRPr="00CE1430" w:rsidTr="00AC77FA">
        <w:trPr>
          <w:tblHeader/>
        </w:trPr>
        <w:tc>
          <w:tcPr>
            <w:tcW w:w="1565" w:type="dxa"/>
            <w:vMerge w:val="restart"/>
          </w:tcPr>
          <w:p w:rsidR="0089783B" w:rsidRPr="00562FB7" w:rsidRDefault="00F81F53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  <w:r w:rsidR="0089783B"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аименование</w:t>
            </w:r>
          </w:p>
        </w:tc>
        <w:tc>
          <w:tcPr>
            <w:tcW w:w="1701" w:type="dxa"/>
            <w:gridSpan w:val="2"/>
          </w:tcPr>
          <w:p w:rsidR="00426710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Сумма изменений </w:t>
            </w:r>
          </w:p>
          <w:p w:rsidR="0089783B" w:rsidRPr="00562FB7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38158F"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extDirection w:val="btLr"/>
          </w:tcPr>
          <w:p w:rsidR="0089783B" w:rsidRPr="00562FB7" w:rsidRDefault="0089783B" w:rsidP="00F5270B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2126" w:type="dxa"/>
            <w:gridSpan w:val="2"/>
          </w:tcPr>
          <w:p w:rsidR="00F03AB3" w:rsidRPr="00562FB7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Сумма изменений </w:t>
            </w:r>
          </w:p>
          <w:p w:rsidR="0089783B" w:rsidRPr="00562FB7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38158F"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extDirection w:val="btLr"/>
          </w:tcPr>
          <w:p w:rsidR="0089783B" w:rsidRPr="00562FB7" w:rsidRDefault="0089783B" w:rsidP="00F5270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843" w:type="dxa"/>
            <w:gridSpan w:val="2"/>
          </w:tcPr>
          <w:p w:rsidR="00426710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Сумма изменений </w:t>
            </w:r>
          </w:p>
          <w:p w:rsidR="0089783B" w:rsidRPr="00562FB7" w:rsidRDefault="0089783B" w:rsidP="0038158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38158F"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67" w:type="dxa"/>
            <w:vMerge w:val="restart"/>
            <w:textDirection w:val="btLr"/>
          </w:tcPr>
          <w:p w:rsidR="0089783B" w:rsidRPr="00562FB7" w:rsidRDefault="0089783B" w:rsidP="00F5270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</w:tr>
      <w:tr w:rsidR="006872B1" w:rsidRPr="00CE1430" w:rsidTr="00AC77FA">
        <w:trPr>
          <w:trHeight w:val="742"/>
          <w:tblHeader/>
        </w:trPr>
        <w:tc>
          <w:tcPr>
            <w:tcW w:w="1565" w:type="dxa"/>
            <w:vMerge/>
          </w:tcPr>
          <w:p w:rsidR="0089783B" w:rsidRPr="00562FB7" w:rsidRDefault="0089783B" w:rsidP="00E33BB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89783B" w:rsidRPr="00562FB7" w:rsidRDefault="0089783B" w:rsidP="005220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Утвержденный бюджет</w:t>
            </w:r>
            <w:r w:rsidR="005220DB"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9783B" w:rsidRPr="00562FB7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Решения</w:t>
            </w:r>
          </w:p>
        </w:tc>
        <w:tc>
          <w:tcPr>
            <w:tcW w:w="850" w:type="dxa"/>
            <w:vMerge/>
          </w:tcPr>
          <w:p w:rsidR="0089783B" w:rsidRPr="00562FB7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9783B" w:rsidRPr="00562FB7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Утвержденный бюджет</w:t>
            </w:r>
          </w:p>
        </w:tc>
        <w:tc>
          <w:tcPr>
            <w:tcW w:w="1134" w:type="dxa"/>
          </w:tcPr>
          <w:p w:rsidR="0089783B" w:rsidRPr="00562FB7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Решения</w:t>
            </w:r>
          </w:p>
        </w:tc>
        <w:tc>
          <w:tcPr>
            <w:tcW w:w="851" w:type="dxa"/>
            <w:vMerge/>
          </w:tcPr>
          <w:p w:rsidR="0089783B" w:rsidRPr="00562FB7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9783B" w:rsidRPr="00562FB7" w:rsidRDefault="0089783B" w:rsidP="008978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Утвержденный бюджет </w:t>
            </w:r>
          </w:p>
        </w:tc>
        <w:tc>
          <w:tcPr>
            <w:tcW w:w="851" w:type="dxa"/>
          </w:tcPr>
          <w:p w:rsidR="0089783B" w:rsidRPr="00562FB7" w:rsidRDefault="0089783B" w:rsidP="006D21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Решения</w:t>
            </w:r>
          </w:p>
        </w:tc>
        <w:tc>
          <w:tcPr>
            <w:tcW w:w="567" w:type="dxa"/>
            <w:vMerge/>
          </w:tcPr>
          <w:p w:rsidR="0089783B" w:rsidRPr="00562FB7" w:rsidRDefault="0089783B" w:rsidP="00E33B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A03B9" w:rsidRPr="00CE1430" w:rsidTr="00AC77FA">
        <w:trPr>
          <w:cantSplit/>
          <w:trHeight w:val="325"/>
        </w:trPr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1.Налоговые и неналоговые доходы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414 503,9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455 831,8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41 327,9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417 555,2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417 555,2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438 752,3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438 752,3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285 362,0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303 837,7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18 475,7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305 167,1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305 167,1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326 223,0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326 223,0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2 072,9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2 072,9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1 993,6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1 993,6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2 020,1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2 020,1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15 343,0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19 794,3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4 451,3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11 763,0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11 763,0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11 804,0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11 804,0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rPr>
          <w:trHeight w:val="47"/>
        </w:trPr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4 995,0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4 995,0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5 009,0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5 009,0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5 059,0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5 059,0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37 265,3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37 308,5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34 645,5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34 645,5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34 651,1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34 651,1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1 540,8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2 053,5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512,7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1 566,2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1 566,2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1 566,2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1 566,2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rPr>
          <w:trHeight w:val="1837"/>
        </w:trPr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54 586,0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54 576,3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-9,7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56 570,3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56 570,3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56 588,4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56 588,4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12 386,8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30 150,5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17 763,7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952,1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1 043,1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840,5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840,5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840,5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840,5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rPr>
          <w:cantSplit/>
          <w:trHeight w:val="1134"/>
        </w:trPr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2.Безвозмездные поступления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999 518,9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1 189 166,9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189 648,0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698 112,3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565 556,2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-132 556,2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506 603,6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506 603,6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22 838,0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22 838,0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16 897,0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16 897,0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районов 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477 165,8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644 163,9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166 998,1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230 957,8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98 329,4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-132 628,5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56 120,5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56 120,5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33 792,9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455 306,0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421 513,1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427 652,9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427 652,9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427 678,3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427 678,3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65 324,4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68 917,8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3 593,4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22 354,6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22 426,9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22 554,8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22 554,8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BA03B9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511,5</w:t>
            </w:r>
          </w:p>
        </w:tc>
        <w:tc>
          <w:tcPr>
            <w:tcW w:w="850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261,5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851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67" w:type="dxa"/>
          </w:tcPr>
          <w:p w:rsidR="00BA03B9" w:rsidRPr="00BA03B9" w:rsidRDefault="00BA03B9" w:rsidP="00BA03B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c>
          <w:tcPr>
            <w:tcW w:w="1565" w:type="dxa"/>
          </w:tcPr>
          <w:p w:rsidR="00BA03B9" w:rsidRPr="00562FB7" w:rsidRDefault="00BA03B9" w:rsidP="00F5270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-2 542,3</w:t>
            </w:r>
          </w:p>
        </w:tc>
        <w:tc>
          <w:tcPr>
            <w:tcW w:w="851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-2 570,3</w:t>
            </w:r>
          </w:p>
        </w:tc>
        <w:tc>
          <w:tcPr>
            <w:tcW w:w="850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-28,0</w:t>
            </w:r>
          </w:p>
        </w:tc>
        <w:tc>
          <w:tcPr>
            <w:tcW w:w="992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A03B9" w:rsidRPr="00CE1430" w:rsidTr="00AC77FA">
        <w:trPr>
          <w:cantSplit/>
          <w:trHeight w:val="276"/>
        </w:trPr>
        <w:tc>
          <w:tcPr>
            <w:tcW w:w="1565" w:type="dxa"/>
          </w:tcPr>
          <w:p w:rsidR="00BA03B9" w:rsidRPr="00562FB7" w:rsidRDefault="00BA03B9" w:rsidP="00F5270B">
            <w:pPr>
              <w:widowControl w:val="0"/>
              <w:ind w:lef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F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1 414 022,8</w:t>
            </w:r>
          </w:p>
        </w:tc>
        <w:tc>
          <w:tcPr>
            <w:tcW w:w="851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1 644 998,</w:t>
            </w:r>
            <w:r w:rsidR="00AA41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BA03B9" w:rsidRPr="00BA03B9" w:rsidRDefault="00BA03B9" w:rsidP="00F5270B">
            <w:pPr>
              <w:ind w:left="-5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230 975,9</w:t>
            </w:r>
          </w:p>
        </w:tc>
        <w:tc>
          <w:tcPr>
            <w:tcW w:w="992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1 115 667,5</w:t>
            </w:r>
          </w:p>
        </w:tc>
        <w:tc>
          <w:tcPr>
            <w:tcW w:w="1134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983 111,4</w:t>
            </w:r>
          </w:p>
        </w:tc>
        <w:tc>
          <w:tcPr>
            <w:tcW w:w="851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-132 556,2</w:t>
            </w:r>
          </w:p>
        </w:tc>
        <w:tc>
          <w:tcPr>
            <w:tcW w:w="992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945 355,9</w:t>
            </w:r>
          </w:p>
        </w:tc>
        <w:tc>
          <w:tcPr>
            <w:tcW w:w="851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945 355,9</w:t>
            </w:r>
          </w:p>
        </w:tc>
        <w:tc>
          <w:tcPr>
            <w:tcW w:w="567" w:type="dxa"/>
          </w:tcPr>
          <w:p w:rsidR="00BA03B9" w:rsidRPr="00BA03B9" w:rsidRDefault="00BA03B9" w:rsidP="00F5270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03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CF02E0" w:rsidRDefault="00BC5B6B" w:rsidP="00F527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7DD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доходов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периоде </w:t>
      </w:r>
      <w:r w:rsidR="00447DD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</w:t>
      </w:r>
      <w:r w:rsidR="0036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налоговых и неналоговых доходов, так и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876" w:rsidRPr="001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Сортавальского муниципального района.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плановом периоде </w:t>
      </w:r>
      <w:r w:rsid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="00EF0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прогнозируется за счет </w:t>
      </w:r>
      <w:r w:rsidR="00EF0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по безвозмездным источникам.</w:t>
      </w:r>
    </w:p>
    <w:p w:rsidR="0005015A" w:rsidRDefault="0005015A" w:rsidP="00F527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представленной таблицы,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80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EF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прогнозируемого объема поступлений налоговых </w:t>
      </w:r>
      <w:r w:rsidR="00BC5B6B" w:rsidRP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на </w:t>
      </w:r>
      <w:r w:rsidR="00BA03B9" w:rsidRPr="00BA03B9">
        <w:rPr>
          <w:rFonts w:ascii="Times New Roman" w:hAnsi="Times New Roman" w:cs="Times New Roman"/>
          <w:bCs/>
          <w:sz w:val="28"/>
          <w:szCs w:val="28"/>
        </w:rPr>
        <w:t>22 927,0</w:t>
      </w:r>
      <w:r w:rsidR="00BC5B6B" w:rsidRP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84472" w:rsidRP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(увеличения поступления налога на </w:t>
      </w:r>
      <w:r w:rsidR="00BA03B9" w:rsidRP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физических лиц</w:t>
      </w:r>
      <w:r w:rsidR="00BA03B9" w:rsidRPr="00BA03B9">
        <w:rPr>
          <w:rFonts w:ascii="Times New Roman" w:hAnsi="Times New Roman" w:cs="Times New Roman"/>
          <w:bCs/>
          <w:sz w:val="28"/>
          <w:szCs w:val="28"/>
        </w:rPr>
        <w:t>,</w:t>
      </w:r>
      <w:r w:rsidR="00961DFD">
        <w:rPr>
          <w:rFonts w:ascii="Times New Roman" w:hAnsi="Times New Roman" w:cs="Times New Roman"/>
          <w:bCs/>
          <w:sz w:val="28"/>
          <w:szCs w:val="28"/>
        </w:rPr>
        <w:t xml:space="preserve"> налога на совокупный доход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увеличения прогнозируемого объема поступлений по неналоговым источникам на </w:t>
      </w:r>
      <w:r w:rsidR="00961DFD" w:rsidRPr="00961DFD">
        <w:rPr>
          <w:rFonts w:ascii="Times New Roman" w:eastAsia="Times New Roman" w:hAnsi="Times New Roman" w:cs="Times New Roman"/>
          <w:sz w:val="28"/>
          <w:szCs w:val="28"/>
          <w:lang w:eastAsia="ru-RU"/>
        </w:rPr>
        <w:t>18 400,9</w:t>
      </w:r>
      <w:r w:rsidR="00984472" w:rsidRPr="0096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4472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использования имущества</w:t>
      </w:r>
      <w:r w:rsidR="009457EE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 за пользование природными ресурсами,</w:t>
      </w:r>
      <w:r w:rsidR="00984472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7EE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продажи материальных и нематериальных активов </w:t>
      </w:r>
      <w:r w:rsidR="00984472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</w:t>
      </w:r>
      <w:r w:rsidR="00984472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штрафов, санкций, возмещений ущерба)</w:t>
      </w:r>
      <w:r w:rsidR="00BC5B6B" w:rsidRPr="0094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увеличения прогнозируемого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в бюджет Сортавальского муниципального района на </w:t>
      </w:r>
      <w:r w:rsidR="00961DFD">
        <w:rPr>
          <w:rFonts w:ascii="Times New Roman" w:eastAsia="Times New Roman" w:hAnsi="Times New Roman" w:cs="Times New Roman"/>
          <w:sz w:val="28"/>
          <w:szCs w:val="28"/>
          <w:lang w:eastAsia="ru-RU"/>
        </w:rPr>
        <w:t>189 648,0</w:t>
      </w:r>
      <w:r w:rsidR="00BC5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98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6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96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прогнозируемого объема безвозмездных источников</w:t>
      </w:r>
      <w:r w:rsidR="00F5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(субсидии и иных межбюджетных трансфертов)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61DFD">
        <w:rPr>
          <w:rFonts w:ascii="Times New Roman" w:eastAsia="Times New Roman" w:hAnsi="Times New Roman" w:cs="Times New Roman"/>
          <w:sz w:val="28"/>
          <w:szCs w:val="28"/>
          <w:lang w:eastAsia="ru-RU"/>
        </w:rPr>
        <w:t>132 556,2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908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2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83B" w:rsidRDefault="00853FA4" w:rsidP="00F527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r w:rsidR="00961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прогнозируемого объема безвозмездных поступлений пр</w:t>
      </w:r>
      <w:r w:rsidR="008A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иведены в Пояснительной записке. 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записк</w:t>
      </w:r>
      <w:r w:rsidR="00C0201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прогнозируемого поступления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неналоговых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C1195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на основании </w:t>
      </w:r>
      <w:r w:rsidR="008A5C08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плана поступления Главными администраторами доходов бюджета района</w:t>
      </w:r>
      <w:r w:rsidR="00C713D9" w:rsidRPr="00FE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57A9" w:rsidRDefault="001A57A9" w:rsidP="00A77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C5" w:rsidRPr="00BB7ED7" w:rsidRDefault="00510DC5" w:rsidP="00BB7ED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B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B21A6D" w:rsidRPr="00BB7ED7" w:rsidRDefault="00B21A6D" w:rsidP="00BB7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202</w:t>
      </w:r>
      <w:r w:rsidR="00920636"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61DFD" w:rsidRPr="00BB7ED7">
        <w:rPr>
          <w:rFonts w:ascii="Times New Roman" w:hAnsi="Times New Roman" w:cs="Times New Roman"/>
          <w:sz w:val="28"/>
          <w:szCs w:val="28"/>
        </w:rPr>
        <w:t>1 675 297,5</w:t>
      </w:r>
      <w:r w:rsidR="001F38AA" w:rsidRPr="00BB7ED7">
        <w:rPr>
          <w:rFonts w:ascii="Times New Roman" w:hAnsi="Times New Roman" w:cs="Times New Roman"/>
          <w:sz w:val="28"/>
          <w:szCs w:val="28"/>
        </w:rPr>
        <w:t xml:space="preserve"> </w:t>
      </w: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F38AA"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961DFD" w:rsidRPr="00BB7ED7">
        <w:rPr>
          <w:rFonts w:ascii="Times New Roman" w:hAnsi="Times New Roman" w:cs="Times New Roman"/>
          <w:sz w:val="28"/>
          <w:szCs w:val="28"/>
        </w:rPr>
        <w:t>230 97</w:t>
      </w:r>
      <w:r w:rsidR="008425BF">
        <w:rPr>
          <w:rFonts w:ascii="Times New Roman" w:hAnsi="Times New Roman" w:cs="Times New Roman"/>
          <w:sz w:val="28"/>
          <w:szCs w:val="28"/>
        </w:rPr>
        <w:t>5,9</w:t>
      </w:r>
      <w:r w:rsidRPr="00BB7ED7">
        <w:rPr>
          <w:rFonts w:ascii="Times New Roman" w:hAnsi="Times New Roman" w:cs="Times New Roman"/>
          <w:sz w:val="28"/>
          <w:szCs w:val="28"/>
        </w:rPr>
        <w:t xml:space="preserve"> </w:t>
      </w:r>
      <w:r w:rsidR="009E1921"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больше </w:t>
      </w: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бюджета</w:t>
      </w:r>
      <w:r w:rsidR="00992514"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последующих изменений</w:t>
      </w: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1A6D" w:rsidRPr="00BB7ED7" w:rsidRDefault="00B21A6D" w:rsidP="00BB7E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D7">
        <w:rPr>
          <w:rFonts w:ascii="Times New Roman" w:eastAsia="Times New Roman" w:hAnsi="Times New Roman"/>
          <w:sz w:val="28"/>
          <w:szCs w:val="28"/>
          <w:lang w:eastAsia="ru-RU"/>
        </w:rPr>
        <w:t>В представленном проекте расходная часть бюджета на плановый период 202</w:t>
      </w:r>
      <w:r w:rsidR="009E1921" w:rsidRPr="00BB7E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B7E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328C7" w:rsidRPr="00BB7ED7">
        <w:rPr>
          <w:rFonts w:ascii="Times New Roman" w:eastAsia="Times New Roman" w:hAnsi="Times New Roman"/>
          <w:sz w:val="28"/>
          <w:szCs w:val="28"/>
          <w:lang w:eastAsia="ru-RU"/>
        </w:rPr>
        <w:t>сокращается</w:t>
      </w:r>
      <w:r w:rsidRPr="00BB7ED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утвержденным бюджетом</w:t>
      </w:r>
      <w:r w:rsidR="00992514" w:rsidRPr="00BB7E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7E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D165D" w:rsidRPr="00BB7ED7">
        <w:rPr>
          <w:rFonts w:ascii="Times New Roman" w:eastAsia="Times New Roman" w:hAnsi="Times New Roman"/>
          <w:sz w:val="28"/>
          <w:szCs w:val="28"/>
          <w:lang w:eastAsia="ru-RU"/>
        </w:rPr>
        <w:t>132 556,2</w:t>
      </w:r>
      <w:r w:rsidR="00E328C7" w:rsidRPr="00BB7ED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1A6D" w:rsidRPr="00BB7ED7" w:rsidRDefault="00B21A6D" w:rsidP="00BB7ED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изменений, внесенных в проект Решения по расходам районного бюджета на 202</w:t>
      </w:r>
      <w:r w:rsidR="00D332CD"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332CD"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D165D"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таблицах: </w:t>
      </w:r>
    </w:p>
    <w:p w:rsidR="00B21A6D" w:rsidRPr="00BB7ED7" w:rsidRDefault="00B21A6D" w:rsidP="00BB7ED7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7E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</w:t>
      </w:r>
      <w:r w:rsidR="00D332CD" w:rsidRPr="00BB7E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ица №</w:t>
      </w:r>
      <w:r w:rsidRPr="00BB7E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332CD" w:rsidRPr="00BB7E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BB7E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 руб.</w:t>
      </w:r>
    </w:p>
    <w:tbl>
      <w:tblPr>
        <w:tblStyle w:val="a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7"/>
        <w:gridCol w:w="1540"/>
        <w:gridCol w:w="1013"/>
        <w:gridCol w:w="978"/>
        <w:gridCol w:w="1013"/>
        <w:gridCol w:w="1060"/>
      </w:tblGrid>
      <w:tr w:rsidR="00B21A6D" w:rsidRPr="001B0D62" w:rsidTr="005D165D">
        <w:trPr>
          <w:tblHeader/>
        </w:trPr>
        <w:tc>
          <w:tcPr>
            <w:tcW w:w="3807" w:type="dxa"/>
            <w:vMerge w:val="restart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04" w:type="dxa"/>
            <w:gridSpan w:val="5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1B61A2"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81A9B" w:rsidRPr="001B0D62" w:rsidTr="005D165D">
        <w:trPr>
          <w:tblHeader/>
        </w:trPr>
        <w:tc>
          <w:tcPr>
            <w:tcW w:w="3807" w:type="dxa"/>
            <w:vMerge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013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8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013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0" w:type="dxa"/>
            <w:vAlign w:val="center"/>
          </w:tcPr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Гр4-гр.2</w:t>
            </w:r>
          </w:p>
          <w:p w:rsidR="00B21A6D" w:rsidRPr="00BF1BB5" w:rsidRDefault="00B21A6D" w:rsidP="00BF1BB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(+;-)</w:t>
            </w:r>
          </w:p>
        </w:tc>
      </w:tr>
      <w:tr w:rsidR="00B81A9B" w:rsidRPr="001B0D62" w:rsidTr="005D165D">
        <w:tc>
          <w:tcPr>
            <w:tcW w:w="3807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0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3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8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3" w:type="dxa"/>
          </w:tcPr>
          <w:p w:rsidR="00B21A6D" w:rsidRPr="0095256B" w:rsidRDefault="00B21A6D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</w:tcPr>
          <w:p w:rsidR="00B21A6D" w:rsidRPr="0095256B" w:rsidRDefault="00044729" w:rsidP="00A778E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82 317,8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89 593,3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060" w:type="dxa"/>
          </w:tcPr>
          <w:p w:rsidR="00961A26" w:rsidRPr="00961A26" w:rsidRDefault="00455B54" w:rsidP="00455B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  <w:r w:rsidR="00961A26" w:rsidRPr="00961A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7 275,5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1 090,8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1 090,8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6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44 611,5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77 407,7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60" w:type="dxa"/>
          </w:tcPr>
          <w:p w:rsidR="00961A26" w:rsidRPr="00961A26" w:rsidRDefault="00455B54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="00961A26"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32 796,2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340 166,6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476 441,6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060" w:type="dxa"/>
          </w:tcPr>
          <w:p w:rsidR="00961A26" w:rsidRPr="00961A26" w:rsidRDefault="00455B54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="00961A26"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136 275,0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771 227,5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806 982,8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1060" w:type="dxa"/>
          </w:tcPr>
          <w:p w:rsidR="00961A26" w:rsidRPr="00961A26" w:rsidRDefault="00455B54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="00961A26"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35 755,3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57 442,2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62 685,5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60" w:type="dxa"/>
          </w:tcPr>
          <w:p w:rsidR="00961A26" w:rsidRPr="00961A26" w:rsidRDefault="00455B54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="00961A26"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5 243,3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144,9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60 176,0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59 723,0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6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-453,0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62 651,0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70 418,4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060" w:type="dxa"/>
          </w:tcPr>
          <w:p w:rsidR="00961A26" w:rsidRPr="00961A26" w:rsidRDefault="00455B54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="00961A26"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7 767,4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1 531,9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2 268,9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60" w:type="dxa"/>
          </w:tcPr>
          <w:p w:rsidR="00961A26" w:rsidRPr="00961A26" w:rsidRDefault="00455B54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="00961A26"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737,0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10 156,0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10 156,0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6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61A26" w:rsidRPr="001B0D62" w:rsidTr="00455B54">
        <w:tc>
          <w:tcPr>
            <w:tcW w:w="3807" w:type="dxa"/>
          </w:tcPr>
          <w:p w:rsidR="00961A26" w:rsidRPr="001B0D62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характера бюджетам субъектов </w:t>
            </w:r>
            <w:r w:rsidRPr="001B0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 и муниципальных образований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12 805,4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18 384,5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60" w:type="dxa"/>
          </w:tcPr>
          <w:p w:rsidR="00961A26" w:rsidRPr="00961A26" w:rsidRDefault="00455B54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="00961A26"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5 579,1</w:t>
            </w:r>
          </w:p>
        </w:tc>
      </w:tr>
      <w:tr w:rsidR="00961A26" w:rsidRPr="005D165D" w:rsidTr="00455B54">
        <w:tc>
          <w:tcPr>
            <w:tcW w:w="3807" w:type="dxa"/>
          </w:tcPr>
          <w:p w:rsidR="00961A26" w:rsidRPr="005D165D" w:rsidRDefault="00961A26" w:rsidP="00961A26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0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1 444 321,6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8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1 675 297,5</w:t>
            </w:r>
          </w:p>
        </w:tc>
        <w:tc>
          <w:tcPr>
            <w:tcW w:w="1013" w:type="dxa"/>
          </w:tcPr>
          <w:p w:rsidR="00961A26" w:rsidRPr="00961A26" w:rsidRDefault="00961A26" w:rsidP="00455B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61A2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0" w:type="dxa"/>
          </w:tcPr>
          <w:p w:rsidR="00961A26" w:rsidRPr="00961A26" w:rsidRDefault="00455B54" w:rsidP="008425B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="008425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230 975,9</w:t>
            </w:r>
          </w:p>
        </w:tc>
      </w:tr>
    </w:tbl>
    <w:p w:rsidR="001F0931" w:rsidRDefault="00B21A6D" w:rsidP="00606BD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0467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D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уточненным бюджетом</w:t>
      </w:r>
      <w:r w:rsidR="001F09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5D5" w:rsidRPr="00B37B34" w:rsidRDefault="00B405D5" w:rsidP="00606BDA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разделу 0100 «Общегосударственные вопросы» на общую сумму </w:t>
      </w:r>
      <w:r w:rsidRPr="00B37B34">
        <w:rPr>
          <w:rFonts w:ascii="Times New Roman" w:hAnsi="Times New Roman" w:cs="Times New Roman"/>
          <w:sz w:val="28"/>
          <w:szCs w:val="28"/>
        </w:rPr>
        <w:t>7 275,5</w:t>
      </w:r>
      <w:r w:rsidRPr="00B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</w:t>
      </w:r>
      <w:r w:rsidR="004772C1" w:rsidRPr="00B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поощрение региональных и муниципальных управленческих команд за достижение показателей деятельности органов исполнительной власти субъектов РФ, </w:t>
      </w:r>
      <w:r w:rsidR="00C8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772C1" w:rsidRPr="00B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полномочий администрации Сортавальского муниципального района, Финансового управления Сортавальского муниципального района, </w:t>
      </w:r>
      <w:r w:rsidR="00C860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72C1" w:rsidRPr="00B37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Сортавальского муниципального района,</w:t>
      </w:r>
      <w:r w:rsidR="00B37B34" w:rsidRPr="00B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расходов учреждения по управлению муниципальной собственностью и учреждения, оказывающего обеспечивающие услуги, архивного учреждения, на обеспечение расходов по содержанию и обслуживанию объектов муниципальной казны, создание резерва на ре</w:t>
      </w:r>
      <w:r w:rsidR="006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ализацию муниципальных программ;</w:t>
      </w:r>
    </w:p>
    <w:p w:rsidR="009F59C3" w:rsidRDefault="00644BA3" w:rsidP="0060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0400 «Национальная экономика» </w:t>
      </w:r>
      <w:r w:rsidR="009F59C3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E257D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 w:rsidR="005F578B" w:rsidRPr="005F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32 796,2 </w:t>
      </w:r>
      <w:r w:rsidR="00B21A6D" w:rsidRPr="005F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6244DE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0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6244DE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субсидии на реализации мероприятий государственной программы Республики Карелия «</w:t>
      </w:r>
      <w:r w:rsidR="00206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системы» (в целях проектирования, ремонта и содержания автомобильных дорог</w:t>
      </w:r>
      <w:r w:rsidR="0000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и местного значения</w:t>
      </w:r>
      <w:r w:rsidR="00206E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74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2EB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предоставления межбюджетных трансфертов бюджетам поселений и </w:t>
      </w:r>
      <w:r w:rsidR="007537B0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0074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37B0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дополнительных мероприятий по поддержке малого и среднего предпринимательства</w:t>
      </w:r>
      <w:r w:rsidR="00985150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физических лиц, применяющих специальный налоговый режим «Налог на профессиональный доход»</w:t>
      </w:r>
      <w:r w:rsidR="00062EB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74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мероприятия по внесению изменений в документы территориального планирования</w:t>
      </w:r>
      <w:r w:rsidR="00606B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D59" w:rsidRPr="004772C1" w:rsidRDefault="008B6D59" w:rsidP="0060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578B"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050</w:t>
      </w:r>
      <w:r w:rsidR="000905AC"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F578B"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39B1"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5F578B"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общую сумму </w:t>
      </w:r>
      <w:r w:rsidR="00F539B1" w:rsidRPr="004772C1">
        <w:rPr>
          <w:rFonts w:ascii="Times New Roman" w:hAnsi="Times New Roman" w:cs="Times New Roman"/>
          <w:bCs/>
          <w:sz w:val="28"/>
          <w:szCs w:val="28"/>
        </w:rPr>
        <w:t xml:space="preserve">136 275,0 </w:t>
      </w:r>
      <w:r w:rsidR="005F578B"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субсидии из республиканского бюджета на реализацию мероприятий по переселению граждан из аварийного жилищного фонда</w:t>
      </w:r>
      <w:r w:rsidR="00707A60"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субсидии местным бюджетам на поддержку местных инициатив граждан, проживающих в муниципальных образованиях, на мероприятия по содержание и обслуживание объектов муниципальной казны, содержание и благоустройство действующих кладбищ, реализацию мероприятий по ликвидации несанкционированных свалок</w:t>
      </w:r>
      <w:r w:rsidRP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A6D" w:rsidRPr="004E1607" w:rsidRDefault="00644BA3" w:rsidP="00606BDA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1A6D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0700 «Образование» увеличение на общую сумму </w:t>
      </w:r>
      <w:r w:rsidR="00621648" w:rsidRPr="00707A60">
        <w:rPr>
          <w:rFonts w:ascii="Times New Roman" w:hAnsi="Times New Roman" w:cs="Times New Roman"/>
          <w:bCs/>
          <w:color w:val="000000"/>
          <w:sz w:val="28"/>
          <w:szCs w:val="28"/>
        </w:rPr>
        <w:t>35 755,3</w:t>
      </w:r>
      <w:r w:rsidR="00674083" w:rsidRPr="00707A60">
        <w:rPr>
          <w:rFonts w:ascii="Times New Roman" w:hAnsi="Times New Roman" w:cs="Times New Roman"/>
          <w:sz w:val="28"/>
          <w:szCs w:val="28"/>
        </w:rPr>
        <w:t xml:space="preserve"> </w:t>
      </w:r>
      <w:r w:rsidR="00B21A6D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основном связано с увеличением финансирования деятельности образовательных учреждений района, а также на реализацию мероприятий предусмотренных </w:t>
      </w:r>
      <w:r w:rsidR="00BF08F9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</w:t>
      </w:r>
      <w:r w:rsidR="002D041A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F08F9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Карелия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8F9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</w:t>
      </w:r>
      <w:r w:rsidR="005C5C1B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C1B" w:rsidRDefault="00644BA3" w:rsidP="0060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5C1B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0800 «Культура, кинематография» увеличены бюджетные ассигнования на общую сумму </w:t>
      </w:r>
      <w:r w:rsidR="00621648" w:rsidRPr="00707A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5 243,3 </w:t>
      </w:r>
      <w:r w:rsidR="002D041A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B42C18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5C1B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библиотечных учреждений; финансирование деятельности музеев и постоянных выставок</w:t>
      </w:r>
      <w:r w:rsidR="00B42C18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C1B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1A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5C1B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</w:t>
      </w:r>
      <w:r w:rsidR="002D041A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</w:t>
      </w:r>
      <w:r w:rsidR="005C5C1B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государственной программы Республики Карелия </w:t>
      </w:r>
      <w:r w:rsidR="00B42C18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5C1B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</w:t>
      </w:r>
      <w:r w:rsidR="00B42C18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041A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C1B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18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частичной компенсации расходов на повышение оплаты труда работников бюджетной сферы)</w:t>
      </w:r>
      <w:r w:rsidR="002D041A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5C5C1B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деятельности учреждений, оказывающих услуги комплексного обеспечения образования, культур</w:t>
      </w:r>
      <w:r w:rsidR="002D041A" w:rsidRP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спорта и молодежной политики;</w:t>
      </w:r>
    </w:p>
    <w:p w:rsidR="009F59C3" w:rsidRPr="00111B94" w:rsidRDefault="002D041A" w:rsidP="0060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BA3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1A6D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1100 «Физическая культура и спорт» увеличение на общую сумму </w:t>
      </w:r>
      <w:r w:rsidR="00111B94" w:rsidRPr="00111B94">
        <w:rPr>
          <w:rFonts w:ascii="Times New Roman" w:hAnsi="Times New Roman" w:cs="Times New Roman"/>
          <w:sz w:val="28"/>
          <w:szCs w:val="28"/>
        </w:rPr>
        <w:t>7 767,4</w:t>
      </w:r>
      <w:r w:rsidR="00B21A6D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для финансирования деятельности физкультурно-оздоровительных учреждений района, </w:t>
      </w:r>
      <w:r w:rsidR="009F59C3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деятельности </w:t>
      </w:r>
      <w:r w:rsidR="001F0931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подготовки по Олимпийским видам спорта</w:t>
      </w:r>
      <w:r w:rsidR="001110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08E" w:rsidRPr="0011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08E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11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государственной программы Республики Карелия «Развитие физической культуры и спорта» (в целях создания условий для занятий</w:t>
      </w:r>
      <w:r w:rsidR="0011108E" w:rsidRPr="0011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0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и спортом в части обустройства пешеходных «троп здоровья»</w:t>
      </w:r>
      <w:r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A6D" w:rsidRPr="004E1607" w:rsidRDefault="002D041A" w:rsidP="00606BD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0931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1200 «Средства массовой информации» увеличение на сумму </w:t>
      </w:r>
      <w:r w:rsidR="00C9520C">
        <w:rPr>
          <w:rFonts w:ascii="Times New Roman" w:eastAsia="Times New Roman" w:hAnsi="Times New Roman" w:cs="Times New Roman"/>
          <w:sz w:val="28"/>
          <w:szCs w:val="28"/>
          <w:lang w:eastAsia="ru-RU"/>
        </w:rPr>
        <w:t>737,0</w:t>
      </w:r>
      <w:r w:rsidR="00B21A6D" w:rsidRPr="004E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для осуществления финансирования деятельности средств массовой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формации;</w:t>
      </w:r>
    </w:p>
    <w:p w:rsidR="00A265DD" w:rsidRPr="00111B94" w:rsidRDefault="002D041A" w:rsidP="00606BDA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44BA3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65DD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1400 «Межбюджетные трансферты общего характера бюджетам субъектов РФ и муниципальных образований» увеличение на сумму </w:t>
      </w:r>
      <w:r w:rsidR="00111B94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5 579,1</w:t>
      </w:r>
      <w:r w:rsidR="00A265DD" w:rsidRPr="00111B94">
        <w:rPr>
          <w:rFonts w:ascii="Times New Roman" w:hAnsi="Times New Roman" w:cs="Times New Roman"/>
          <w:sz w:val="28"/>
          <w:szCs w:val="28"/>
        </w:rPr>
        <w:t xml:space="preserve"> </w:t>
      </w:r>
      <w:r w:rsidR="00A265DD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на предоставление </w:t>
      </w:r>
      <w:r w:rsidR="00111B94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местным бюджетам на поддержку местных инициатив граждан, проживающих в муниципальных образованиях, иные межбюджетные трансферты на поддержку развития территориального общественного самоуправления</w:t>
      </w:r>
      <w:r w:rsid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B94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на содействие решению вопросов, направленных в государственной информационной системе «Активный гражданин Республики Карелия»</w:t>
      </w:r>
      <w:r w:rsidR="004772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B94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региональных и муниципальных управленческих команд за достижение показателей деятельности органов исполнительной власти субъектов РФ</w:t>
      </w:r>
      <w:r w:rsidR="00A265DD" w:rsidRPr="0011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4FC" w:rsidRPr="00A979FB" w:rsidRDefault="001F0931" w:rsidP="0055761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сокращены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уточненным бюджетом</w:t>
      </w:r>
      <w:r w:rsidRPr="005A5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D041A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144F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азделу </w:t>
      </w:r>
      <w:r w:rsidR="002714FC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144F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14FC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07144F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2714FC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общую сумму </w:t>
      </w:r>
      <w:r w:rsidR="00A979FB" w:rsidRPr="00A979FB">
        <w:rPr>
          <w:rFonts w:ascii="Times New Roman" w:hAnsi="Times New Roman" w:cs="Times New Roman"/>
          <w:sz w:val="28"/>
          <w:szCs w:val="28"/>
        </w:rPr>
        <w:t>453,0</w:t>
      </w:r>
      <w:r w:rsidR="002714FC" w:rsidRPr="00A979FB">
        <w:rPr>
          <w:rFonts w:ascii="Times New Roman" w:hAnsi="Times New Roman" w:cs="Times New Roman"/>
          <w:sz w:val="28"/>
          <w:szCs w:val="28"/>
        </w:rPr>
        <w:t xml:space="preserve"> </w:t>
      </w:r>
      <w:r w:rsidR="002714FC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892808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за счет уменьшения </w:t>
      </w:r>
      <w:r w:rsidR="00A979FB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реализацию мероприятий государственной программы Республики Карелия «Совершенствование социальной защиты граждан»</w:t>
      </w:r>
      <w:r w:rsid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межбюджетных трансфертов из бюджета Республики </w:t>
      </w:r>
      <w:r w:rsidR="008B6D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арелия</w:t>
      </w:r>
      <w:r w:rsidR="002D041A" w:rsidRPr="00A979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1A6D" w:rsidRPr="00557616" w:rsidRDefault="004B3084" w:rsidP="00A778ED">
      <w:pPr>
        <w:pStyle w:val="a3"/>
        <w:widowControl w:val="0"/>
        <w:spacing w:after="100" w:afterAutospacing="1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57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Таблица№</w:t>
      </w:r>
      <w:r w:rsidR="00B21A6D" w:rsidRPr="00557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557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</w:t>
      </w:r>
      <w:r w:rsidR="00B21A6D" w:rsidRPr="005576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ыс.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2"/>
        <w:gridCol w:w="1732"/>
        <w:gridCol w:w="1215"/>
        <w:gridCol w:w="1147"/>
        <w:gridCol w:w="1215"/>
        <w:gridCol w:w="1220"/>
      </w:tblGrid>
      <w:tr w:rsidR="00B21A6D" w:rsidRPr="001B0D62" w:rsidTr="00B21A6D">
        <w:tc>
          <w:tcPr>
            <w:tcW w:w="0" w:type="auto"/>
            <w:vMerge w:val="restart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5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B3084"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21A6D" w:rsidRPr="001B0D62" w:rsidTr="00B21A6D">
        <w:tc>
          <w:tcPr>
            <w:tcW w:w="0" w:type="auto"/>
            <w:vMerge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Гр4-гр.2</w:t>
            </w:r>
          </w:p>
          <w:p w:rsidR="00B21A6D" w:rsidRPr="00644BA3" w:rsidRDefault="00B21A6D" w:rsidP="00644BA3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B21A6D" w:rsidRPr="001B0D62" w:rsidTr="00B21A6D"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B21A6D" w:rsidRPr="0095256B" w:rsidRDefault="00B21A6D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B21A6D" w:rsidRPr="0095256B" w:rsidRDefault="00044729" w:rsidP="00B21A6D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25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69 608,3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69 608,3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1 108,5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1 108,5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3 458,6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3 458,6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187 937,4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55 308,9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-132 628,5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бразование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684 699,0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684 771,3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+</w:t>
            </w: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72,3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39 402,1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39 402,1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54 155,5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54 155,5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45 568,8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45 568,8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1 255,4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1 255,4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10 358,0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10 358,0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E06455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4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4 773,0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sz w:val="16"/>
                <w:szCs w:val="16"/>
              </w:rPr>
              <w:t xml:space="preserve">4 773,0 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125CD" w:rsidRPr="001B0D62" w:rsidTr="001125CD">
        <w:tc>
          <w:tcPr>
            <w:tcW w:w="0" w:type="auto"/>
          </w:tcPr>
          <w:p w:rsidR="001125CD" w:rsidRPr="007814F3" w:rsidRDefault="001125CD" w:rsidP="001125CD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14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1 102 324,5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969 768,3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0" w:type="auto"/>
          </w:tcPr>
          <w:p w:rsidR="001125CD" w:rsidRPr="001125CD" w:rsidRDefault="001125CD" w:rsidP="001125C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125C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-132 556,2</w:t>
            </w:r>
          </w:p>
        </w:tc>
      </w:tr>
    </w:tbl>
    <w:p w:rsidR="00DD3B35" w:rsidRPr="00DD5ACA" w:rsidRDefault="00B21A6D" w:rsidP="00A432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</w:t>
      </w:r>
      <w:r w:rsidR="00701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плановый период 202</w:t>
      </w:r>
      <w:r w:rsid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8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</w:t>
      </w:r>
      <w:r w:rsidR="0028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</w:t>
      </w:r>
      <w:r w:rsidR="00282B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назначений,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изменением объемов межбюджетных</w:t>
      </w:r>
      <w:r w:rsid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трансфертов из республиканского бюджета. </w:t>
      </w:r>
      <w:r w:rsidR="0011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581FA9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="00CD62E3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125CD">
        <w:rPr>
          <w:rFonts w:ascii="Times New Roman" w:eastAsia="Times New Roman" w:hAnsi="Times New Roman" w:cs="Times New Roman"/>
          <w:sz w:val="28"/>
          <w:szCs w:val="28"/>
          <w:lang w:eastAsia="ru-RU"/>
        </w:rPr>
        <w:t>132 628,5</w:t>
      </w:r>
      <w:r w:rsidR="00CD62E3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581FA9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0</w:t>
      </w:r>
      <w:r w:rsidR="0007154B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1FA9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07154B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581FA9" w:rsidRPr="0007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2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переселению гражда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из аварийного жилищного фонда, </w:t>
      </w:r>
      <w:r w:rsid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</w:t>
      </w:r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CD6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</w:t>
      </w:r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переселению граждан из аварийного жилищного фонда, </w:t>
      </w:r>
      <w:proofErr w:type="spellStart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софинансируемых</w:t>
      </w:r>
      <w:proofErr w:type="spellEnd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Фонда содействия реформированию жилищно-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 муниципальных образований на обеспечение мероприятий по переселению граждан из аварийного жилищного фонда;</w:t>
      </w:r>
    </w:p>
    <w:p w:rsidR="00150AC1" w:rsidRPr="00DD5ACA" w:rsidRDefault="00E6650B" w:rsidP="00A4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0700 «Образование» </w:t>
      </w:r>
      <w:r w:rsidR="00112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D62E3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1125CD">
        <w:rPr>
          <w:rFonts w:ascii="Times New Roman" w:hAnsi="Times New Roman" w:cs="Times New Roman"/>
          <w:color w:val="000000"/>
          <w:sz w:val="28"/>
          <w:szCs w:val="28"/>
        </w:rPr>
        <w:t xml:space="preserve">72,3 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реализацию мероприятий государственно</w:t>
      </w:r>
      <w:r w:rsidR="00DD5ACA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 Республики Карелия «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</w:t>
      </w:r>
      <w:r w:rsidR="00770E02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2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5ACA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</w:t>
      </w:r>
      <w:r w:rsidR="00112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</w:t>
      </w:r>
      <w:r w:rsidR="00DD5ACA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1125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5ACA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из бюджета республики Карелия</w:t>
      </w:r>
      <w:r w:rsidR="00DD3B35" w:rsidRPr="00DD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21A6D" w:rsidRPr="00250957" w:rsidRDefault="00B21A6D" w:rsidP="00A432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районного бюджета значительно не изменилась. Как и в утвержденном</w:t>
      </w:r>
      <w:r w:rsidR="00E07C36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долю расходов района в 20</w:t>
      </w:r>
      <w:r w:rsidR="00665801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9D9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расходы на образование – 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48,2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(в утвержденном бюджете – 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процентов), в 202</w:t>
      </w:r>
      <w:r w:rsidR="00F549D9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70,6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C2140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D041A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D041A" w:rsidRPr="0042457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549D9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общегосударственные расходы 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65801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9D9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г.– </w:t>
      </w:r>
      <w:r w:rsidR="00F549D9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C2140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социальную политику в 20</w:t>
      </w:r>
      <w:r w:rsidR="00665801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(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="00C2140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культуру и кинематографию в 20</w:t>
      </w:r>
      <w:r w:rsidR="009924D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г.– 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50957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202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%(</w:t>
      </w:r>
      <w:r w:rsidR="008E4B08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C2140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жилищно-коммунальное хозяйство в 20</w:t>
      </w:r>
      <w:r w:rsidR="009924D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9D9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28,4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</w:t>
      </w:r>
      <w:r w:rsidR="00F549D9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Pr="0042457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16860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924D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%(</w:t>
      </w:r>
      <w:r w:rsidR="00635CAD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2140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6534" w:rsidRDefault="00F26534" w:rsidP="00A4320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54679D" w:rsidRDefault="0005795A" w:rsidP="00AC77F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муниципального района от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 w:rsidR="00A4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на 20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30 298,7</w:t>
      </w:r>
      <w:r w:rsidR="00792C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,0</w:t>
      </w:r>
      <w:r w:rsidR="00B72A30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A30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профицитом 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2 904,0 тыс. руб., на 2024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объеме </w:t>
      </w:r>
      <w:r w:rsidR="00792CC8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B7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B72A30" w:rsidRDefault="00B72A30" w:rsidP="00AC77FA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</w:t>
      </w:r>
      <w:r w:rsidR="0005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предлагается вносить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объем дефицита бюджета </w:t>
      </w:r>
      <w:r w:rsidR="00CD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BC59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5948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A30" w:rsidRDefault="00B72A30" w:rsidP="00AC77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</w:t>
      </w:r>
      <w:r w:rsidR="00BC5948">
        <w:rPr>
          <w:rFonts w:ascii="Times New Roman" w:hAnsi="Times New Roman" w:cs="Times New Roman"/>
          <w:sz w:val="28"/>
          <w:szCs w:val="28"/>
        </w:rPr>
        <w:t xml:space="preserve"> бюджета не должен превышать 10</w:t>
      </w:r>
      <w:r w:rsidRPr="00B83B9C">
        <w:rPr>
          <w:rFonts w:ascii="Times New Roman" w:hAnsi="Times New Roman" w:cs="Times New Roman"/>
          <w:sz w:val="28"/>
          <w:szCs w:val="28"/>
        </w:rPr>
        <w:t>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B72A30" w:rsidRDefault="00B72A30" w:rsidP="00A4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C5948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C5948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D1A3B">
        <w:rPr>
          <w:rFonts w:ascii="Times New Roman" w:hAnsi="Times New Roman" w:cs="Times New Roman"/>
          <w:sz w:val="28"/>
          <w:szCs w:val="28"/>
        </w:rPr>
        <w:t>455 831,</w:t>
      </w:r>
      <w:r w:rsidR="00A4320F">
        <w:rPr>
          <w:rFonts w:ascii="Times New Roman" w:hAnsi="Times New Roman" w:cs="Times New Roman"/>
          <w:sz w:val="28"/>
          <w:szCs w:val="28"/>
        </w:rPr>
        <w:t>9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6468">
        <w:rPr>
          <w:rFonts w:ascii="Times New Roman" w:hAnsi="Times New Roman" w:cs="Times New Roman"/>
          <w:sz w:val="28"/>
          <w:szCs w:val="28"/>
        </w:rPr>
        <w:t>10</w:t>
      </w:r>
      <w:r w:rsidRPr="00B83B9C">
        <w:rPr>
          <w:rFonts w:ascii="Times New Roman" w:hAnsi="Times New Roman" w:cs="Times New Roman"/>
          <w:sz w:val="28"/>
          <w:szCs w:val="28"/>
        </w:rPr>
        <w:t xml:space="preserve">% от этой суммы составляет </w:t>
      </w:r>
      <w:r w:rsidR="00CD1A3B">
        <w:rPr>
          <w:rFonts w:ascii="Times New Roman" w:hAnsi="Times New Roman" w:cs="Times New Roman"/>
          <w:sz w:val="28"/>
          <w:szCs w:val="28"/>
        </w:rPr>
        <w:t>45 583,</w:t>
      </w:r>
      <w:r w:rsidR="00A4320F">
        <w:rPr>
          <w:rFonts w:ascii="Times New Roman" w:hAnsi="Times New Roman" w:cs="Times New Roman"/>
          <w:sz w:val="28"/>
          <w:szCs w:val="28"/>
        </w:rPr>
        <w:t>2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</w:t>
      </w:r>
      <w:r w:rsidR="00D64A0F">
        <w:rPr>
          <w:rFonts w:ascii="Times New Roman" w:hAnsi="Times New Roman" w:cs="Times New Roman"/>
          <w:sz w:val="28"/>
          <w:szCs w:val="28"/>
        </w:rPr>
        <w:t xml:space="preserve">с. </w:t>
      </w:r>
      <w:r w:rsidR="00D64A0F" w:rsidRPr="00B83B9C">
        <w:rPr>
          <w:rFonts w:ascii="Times New Roman" w:hAnsi="Times New Roman" w:cs="Times New Roman"/>
          <w:sz w:val="28"/>
          <w:szCs w:val="28"/>
        </w:rPr>
        <w:t>руб</w:t>
      </w:r>
      <w:r w:rsidR="00D64A0F">
        <w:rPr>
          <w:rFonts w:ascii="Times New Roman" w:hAnsi="Times New Roman" w:cs="Times New Roman"/>
          <w:sz w:val="28"/>
          <w:szCs w:val="28"/>
        </w:rPr>
        <w:t>.</w:t>
      </w:r>
      <w:r w:rsidR="006C5763">
        <w:rPr>
          <w:rFonts w:ascii="Times New Roman" w:hAnsi="Times New Roman" w:cs="Times New Roman"/>
          <w:sz w:val="28"/>
          <w:szCs w:val="28"/>
        </w:rPr>
        <w:t>,</w:t>
      </w:r>
      <w:r w:rsidR="003A54AF" w:rsidRPr="003A54AF">
        <w:rPr>
          <w:rFonts w:ascii="Times New Roman" w:hAnsi="Times New Roman" w:cs="Times New Roman"/>
          <w:sz w:val="28"/>
          <w:szCs w:val="28"/>
        </w:rPr>
        <w:t xml:space="preserve"> </w:t>
      </w:r>
      <w:r w:rsidR="003A54AF">
        <w:rPr>
          <w:rFonts w:ascii="Times New Roman" w:hAnsi="Times New Roman" w:cs="Times New Roman"/>
          <w:sz w:val="28"/>
          <w:szCs w:val="28"/>
        </w:rPr>
        <w:t xml:space="preserve">изменение остатка средств на счетах по учету средств бюджета в объеме </w:t>
      </w:r>
      <w:r w:rsidR="003A54AF" w:rsidRPr="003A54AF">
        <w:rPr>
          <w:rFonts w:ascii="Times New Roman" w:hAnsi="Times New Roman" w:cs="Times New Roman"/>
          <w:color w:val="000000"/>
          <w:sz w:val="28"/>
          <w:szCs w:val="28"/>
        </w:rPr>
        <w:t xml:space="preserve">42 829,7 </w:t>
      </w:r>
      <w:r w:rsidR="003A54AF" w:rsidRPr="003A54AF">
        <w:rPr>
          <w:rFonts w:ascii="Times New Roman" w:hAnsi="Times New Roman" w:cs="Times New Roman"/>
          <w:sz w:val="28"/>
          <w:szCs w:val="28"/>
        </w:rPr>
        <w:t>тыс</w:t>
      </w:r>
      <w:r w:rsidR="003A54AF">
        <w:rPr>
          <w:rFonts w:ascii="Times New Roman" w:hAnsi="Times New Roman" w:cs="Times New Roman"/>
          <w:sz w:val="28"/>
          <w:szCs w:val="28"/>
        </w:rPr>
        <w:t>. руб.</w:t>
      </w:r>
      <w:r w:rsidR="00D26468">
        <w:rPr>
          <w:rFonts w:ascii="Times New Roman" w:hAnsi="Times New Roman" w:cs="Times New Roman"/>
          <w:sz w:val="28"/>
          <w:szCs w:val="28"/>
        </w:rPr>
        <w:t>)</w:t>
      </w:r>
      <w:r w:rsidR="003A54AF">
        <w:rPr>
          <w:rFonts w:ascii="Times New Roman" w:hAnsi="Times New Roman" w:cs="Times New Roman"/>
          <w:sz w:val="28"/>
          <w:szCs w:val="28"/>
        </w:rPr>
        <w:t>, 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1B56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="00FD171C">
        <w:rPr>
          <w:rFonts w:ascii="Times New Roman" w:hAnsi="Times New Roman" w:cs="Times New Roman"/>
          <w:sz w:val="28"/>
          <w:szCs w:val="28"/>
        </w:rPr>
        <w:t xml:space="preserve">не </w:t>
      </w:r>
      <w:r w:rsidR="00A21B56">
        <w:rPr>
          <w:rFonts w:ascii="Times New Roman" w:hAnsi="Times New Roman" w:cs="Times New Roman"/>
          <w:sz w:val="28"/>
          <w:szCs w:val="28"/>
        </w:rPr>
        <w:t xml:space="preserve">допущено </w:t>
      </w:r>
      <w:r>
        <w:rPr>
          <w:rFonts w:ascii="Times New Roman" w:hAnsi="Times New Roman" w:cs="Times New Roman"/>
          <w:sz w:val="28"/>
          <w:szCs w:val="28"/>
        </w:rPr>
        <w:t>превышени</w:t>
      </w:r>
      <w:r w:rsidR="00A21B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предельного значения размера дефицита бюджета, установленного бюджетным з</w:t>
      </w:r>
      <w:r w:rsidR="00A21B56">
        <w:rPr>
          <w:rFonts w:ascii="Times New Roman" w:hAnsi="Times New Roman" w:cs="Times New Roman"/>
          <w:sz w:val="28"/>
          <w:szCs w:val="28"/>
        </w:rPr>
        <w:t>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30" w:rsidRDefault="00B72A30" w:rsidP="00A4320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lastRenderedPageBreak/>
        <w:t>Размер дефицита бюджета характеризуется следующими данными.</w:t>
      </w:r>
    </w:p>
    <w:p w:rsidR="006C5763" w:rsidRPr="00DD5ACA" w:rsidRDefault="006C5763" w:rsidP="00A4320F">
      <w:pPr>
        <w:pStyle w:val="a3"/>
        <w:widowControl w:val="0"/>
        <w:spacing w:after="100" w:afterAutospacing="1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Таблица№</w:t>
      </w:r>
      <w:r w:rsidR="00A432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DD5A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тыс. руб</w:t>
      </w:r>
      <w:r w:rsidRPr="00DD5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276"/>
        <w:gridCol w:w="1276"/>
        <w:gridCol w:w="1134"/>
        <w:gridCol w:w="1134"/>
        <w:gridCol w:w="1099"/>
      </w:tblGrid>
      <w:tr w:rsidR="00B72A30" w:rsidTr="00AC77FA">
        <w:trPr>
          <w:tblHeader/>
        </w:trPr>
        <w:tc>
          <w:tcPr>
            <w:tcW w:w="2660" w:type="dxa"/>
            <w:vMerge w:val="restart"/>
          </w:tcPr>
          <w:p w:rsidR="00B72A30" w:rsidRPr="00AC77FA" w:rsidRDefault="00B72A30" w:rsidP="00B7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B72A30" w:rsidRPr="00AC77FA" w:rsidRDefault="00B72A30" w:rsidP="006C5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A21B56"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C5763"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2410" w:type="dxa"/>
            <w:gridSpan w:val="2"/>
          </w:tcPr>
          <w:p w:rsidR="00B72A30" w:rsidRPr="00AC77FA" w:rsidRDefault="00B72A30" w:rsidP="006C5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6C5763"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2233" w:type="dxa"/>
            <w:gridSpan w:val="2"/>
          </w:tcPr>
          <w:p w:rsidR="00B72A30" w:rsidRPr="00AC77FA" w:rsidRDefault="00B72A30" w:rsidP="005B32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5B3250"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  <w:tr w:rsidR="00FC6022" w:rsidTr="00AC77FA">
        <w:trPr>
          <w:tblHeader/>
        </w:trPr>
        <w:tc>
          <w:tcPr>
            <w:tcW w:w="2660" w:type="dxa"/>
            <w:vMerge/>
          </w:tcPr>
          <w:p w:rsidR="00B72A30" w:rsidRPr="00AC77FA" w:rsidRDefault="00B72A30" w:rsidP="00B72A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72A30" w:rsidRPr="00AC77FA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276" w:type="dxa"/>
          </w:tcPr>
          <w:p w:rsidR="00B72A30" w:rsidRPr="00AC77FA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1276" w:type="dxa"/>
          </w:tcPr>
          <w:p w:rsidR="00B72A30" w:rsidRPr="00AC77FA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134" w:type="dxa"/>
          </w:tcPr>
          <w:p w:rsidR="00B72A30" w:rsidRPr="00AC77FA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1134" w:type="dxa"/>
          </w:tcPr>
          <w:p w:rsidR="00B72A30" w:rsidRPr="00AC77FA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099" w:type="dxa"/>
          </w:tcPr>
          <w:p w:rsidR="00B72A30" w:rsidRPr="00AC77FA" w:rsidRDefault="00B72A30" w:rsidP="00B72A3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77FA">
              <w:rPr>
                <w:rFonts w:ascii="Times New Roman" w:hAnsi="Times New Roman" w:cs="Times New Roman"/>
                <w:b/>
                <w:sz w:val="16"/>
                <w:szCs w:val="16"/>
              </w:rPr>
              <w:t>Проект Решения о внесении изменений</w:t>
            </w:r>
          </w:p>
        </w:tc>
      </w:tr>
      <w:tr w:rsidR="0095256B" w:rsidTr="00AC77FA">
        <w:trPr>
          <w:tblHeader/>
        </w:trPr>
        <w:tc>
          <w:tcPr>
            <w:tcW w:w="2660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9" w:type="dxa"/>
          </w:tcPr>
          <w:p w:rsidR="0095256B" w:rsidRPr="0095256B" w:rsidRDefault="0095256B" w:rsidP="009525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5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167B8" w:rsidTr="00AC77FA">
        <w:tc>
          <w:tcPr>
            <w:tcW w:w="2660" w:type="dxa"/>
          </w:tcPr>
          <w:p w:rsidR="002167B8" w:rsidRPr="00A4320F" w:rsidRDefault="002167B8" w:rsidP="00A4320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sz w:val="16"/>
                <w:szCs w:val="16"/>
              </w:rPr>
              <w:t>Общий объем доходов районного бюджета</w:t>
            </w:r>
          </w:p>
        </w:tc>
        <w:tc>
          <w:tcPr>
            <w:tcW w:w="992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1 414 022,8</w:t>
            </w:r>
          </w:p>
        </w:tc>
        <w:tc>
          <w:tcPr>
            <w:tcW w:w="1276" w:type="dxa"/>
          </w:tcPr>
          <w:p w:rsidR="002167B8" w:rsidRPr="00A4320F" w:rsidRDefault="00A4320F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1 644 998,</w:t>
            </w:r>
            <w:r w:rsidR="005449FF"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1 115 667,5</w:t>
            </w:r>
          </w:p>
        </w:tc>
        <w:tc>
          <w:tcPr>
            <w:tcW w:w="1134" w:type="dxa"/>
          </w:tcPr>
          <w:p w:rsidR="002167B8" w:rsidRPr="00A4320F" w:rsidRDefault="000E662C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980 207,34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945 355,9</w:t>
            </w:r>
          </w:p>
        </w:tc>
        <w:tc>
          <w:tcPr>
            <w:tcW w:w="1099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945 355,9</w:t>
            </w:r>
          </w:p>
        </w:tc>
      </w:tr>
      <w:tr w:rsidR="002167B8" w:rsidTr="00AC77FA">
        <w:tc>
          <w:tcPr>
            <w:tcW w:w="2660" w:type="dxa"/>
          </w:tcPr>
          <w:p w:rsidR="002167B8" w:rsidRPr="00A4320F" w:rsidRDefault="002167B8" w:rsidP="00A4320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sz w:val="16"/>
                <w:szCs w:val="16"/>
              </w:rPr>
              <w:t>Объем безвозмездных поступлений</w:t>
            </w:r>
          </w:p>
        </w:tc>
        <w:tc>
          <w:tcPr>
            <w:tcW w:w="992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999 518,9</w:t>
            </w:r>
          </w:p>
        </w:tc>
        <w:tc>
          <w:tcPr>
            <w:tcW w:w="1276" w:type="dxa"/>
          </w:tcPr>
          <w:p w:rsidR="002167B8" w:rsidRPr="00A4320F" w:rsidRDefault="00A4320F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1 189 166,9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698 112,3</w:t>
            </w:r>
          </w:p>
        </w:tc>
        <w:tc>
          <w:tcPr>
            <w:tcW w:w="1134" w:type="dxa"/>
          </w:tcPr>
          <w:p w:rsidR="002167B8" w:rsidRPr="00A4320F" w:rsidRDefault="000E662C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565 556,15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506 603,6</w:t>
            </w:r>
          </w:p>
        </w:tc>
        <w:tc>
          <w:tcPr>
            <w:tcW w:w="1099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506 603,6</w:t>
            </w:r>
          </w:p>
        </w:tc>
      </w:tr>
      <w:tr w:rsidR="002167B8" w:rsidTr="00AC77FA">
        <w:tc>
          <w:tcPr>
            <w:tcW w:w="2660" w:type="dxa"/>
          </w:tcPr>
          <w:p w:rsidR="002167B8" w:rsidRPr="00A4320F" w:rsidRDefault="002167B8" w:rsidP="00A4320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sz w:val="16"/>
                <w:szCs w:val="16"/>
              </w:rPr>
              <w:t>Общий объем доходов районного бюджета без учета безвозмездных поступлений</w:t>
            </w:r>
          </w:p>
        </w:tc>
        <w:tc>
          <w:tcPr>
            <w:tcW w:w="992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414 503,9</w:t>
            </w:r>
          </w:p>
        </w:tc>
        <w:tc>
          <w:tcPr>
            <w:tcW w:w="1276" w:type="dxa"/>
          </w:tcPr>
          <w:p w:rsidR="002167B8" w:rsidRPr="00A4320F" w:rsidRDefault="005449FF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455 831,</w:t>
            </w:r>
            <w:r w:rsid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417 555,2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417 555,2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438 752,3</w:t>
            </w:r>
          </w:p>
        </w:tc>
        <w:tc>
          <w:tcPr>
            <w:tcW w:w="1099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438 752,3</w:t>
            </w:r>
          </w:p>
        </w:tc>
      </w:tr>
      <w:tr w:rsidR="002167B8" w:rsidTr="00AC77FA">
        <w:tc>
          <w:tcPr>
            <w:tcW w:w="2660" w:type="dxa"/>
          </w:tcPr>
          <w:p w:rsidR="002167B8" w:rsidRPr="00A4320F" w:rsidRDefault="002167B8" w:rsidP="00A4320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расходов районного бюджета </w:t>
            </w:r>
          </w:p>
        </w:tc>
        <w:tc>
          <w:tcPr>
            <w:tcW w:w="992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1 444 321,5</w:t>
            </w:r>
          </w:p>
        </w:tc>
        <w:tc>
          <w:tcPr>
            <w:tcW w:w="1276" w:type="dxa"/>
          </w:tcPr>
          <w:p w:rsidR="002167B8" w:rsidRPr="00A4320F" w:rsidRDefault="00D54173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1 675 297,5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1 112 763,5</w:t>
            </w:r>
          </w:p>
        </w:tc>
        <w:tc>
          <w:tcPr>
            <w:tcW w:w="1134" w:type="dxa"/>
          </w:tcPr>
          <w:p w:rsidR="002167B8" w:rsidRPr="00A4320F" w:rsidRDefault="00180680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98 207,34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945 355,9</w:t>
            </w:r>
          </w:p>
        </w:tc>
        <w:tc>
          <w:tcPr>
            <w:tcW w:w="1099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945 355,9</w:t>
            </w:r>
          </w:p>
        </w:tc>
      </w:tr>
      <w:tr w:rsidR="002167B8" w:rsidTr="00AC77FA">
        <w:tc>
          <w:tcPr>
            <w:tcW w:w="2660" w:type="dxa"/>
          </w:tcPr>
          <w:p w:rsidR="002167B8" w:rsidRPr="00A4320F" w:rsidRDefault="002167B8" w:rsidP="00A4320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sz w:val="16"/>
                <w:szCs w:val="16"/>
              </w:rPr>
              <w:t>Дефицит (профицит) бюджета</w:t>
            </w:r>
          </w:p>
        </w:tc>
        <w:tc>
          <w:tcPr>
            <w:tcW w:w="992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30 298,7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30 298,7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-2 904,0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-2 904,0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9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167B8" w:rsidTr="00AC77FA">
        <w:tc>
          <w:tcPr>
            <w:tcW w:w="2660" w:type="dxa"/>
          </w:tcPr>
          <w:p w:rsidR="002167B8" w:rsidRPr="00A4320F" w:rsidRDefault="002167B8" w:rsidP="00A4320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sz w:val="16"/>
                <w:szCs w:val="16"/>
              </w:rPr>
              <w:t>Изменение остатков</w:t>
            </w:r>
          </w:p>
        </w:tc>
        <w:tc>
          <w:tcPr>
            <w:tcW w:w="992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42 829,7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42 829,7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9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167B8" w:rsidTr="00AC77FA">
        <w:tc>
          <w:tcPr>
            <w:tcW w:w="2660" w:type="dxa"/>
          </w:tcPr>
          <w:p w:rsidR="002167B8" w:rsidRPr="00A4320F" w:rsidRDefault="002167B8" w:rsidP="00A4320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sz w:val="16"/>
                <w:szCs w:val="16"/>
              </w:rPr>
              <w:t>Отношение дефицита районного бюджета к общему объему доходов районного бюджета без учета безвозмездных поступлений, %</w:t>
            </w:r>
          </w:p>
        </w:tc>
        <w:tc>
          <w:tcPr>
            <w:tcW w:w="992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276" w:type="dxa"/>
          </w:tcPr>
          <w:p w:rsidR="002167B8" w:rsidRPr="00A4320F" w:rsidRDefault="000E1103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76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9" w:type="dxa"/>
          </w:tcPr>
          <w:p w:rsidR="002167B8" w:rsidRPr="00A4320F" w:rsidRDefault="002167B8" w:rsidP="00A4320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20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</w:tbl>
    <w:p w:rsidR="00B72A30" w:rsidRPr="00D2203C" w:rsidRDefault="00B72A30" w:rsidP="00A432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3C">
        <w:rPr>
          <w:rFonts w:ascii="Times New Roman" w:hAnsi="Times New Roman" w:cs="Times New Roman"/>
          <w:sz w:val="28"/>
          <w:szCs w:val="28"/>
        </w:rPr>
        <w:t>Таким образом, проектом Решения предлагается увеличить объем доходов районного бюджета</w:t>
      </w:r>
      <w:r w:rsidR="00DC7646" w:rsidRPr="00D2203C">
        <w:rPr>
          <w:rFonts w:ascii="Times New Roman" w:hAnsi="Times New Roman" w:cs="Times New Roman"/>
          <w:sz w:val="28"/>
          <w:szCs w:val="28"/>
        </w:rPr>
        <w:t xml:space="preserve"> по </w:t>
      </w:r>
      <w:r w:rsidRPr="00D2203C">
        <w:rPr>
          <w:rFonts w:ascii="Times New Roman" w:hAnsi="Times New Roman" w:cs="Times New Roman"/>
          <w:sz w:val="28"/>
          <w:szCs w:val="28"/>
        </w:rPr>
        <w:t xml:space="preserve">отношению к первоначально утвержденному бюджету </w:t>
      </w:r>
      <w:r w:rsidR="00DC7646" w:rsidRPr="00D2203C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 </w:t>
      </w:r>
      <w:r w:rsidRPr="00D2203C">
        <w:rPr>
          <w:rFonts w:ascii="Times New Roman" w:hAnsi="Times New Roman" w:cs="Times New Roman"/>
          <w:sz w:val="28"/>
          <w:szCs w:val="28"/>
        </w:rPr>
        <w:t>в 20</w:t>
      </w:r>
      <w:r w:rsidR="00091E1A" w:rsidRPr="00D2203C">
        <w:rPr>
          <w:rFonts w:ascii="Times New Roman" w:hAnsi="Times New Roman" w:cs="Times New Roman"/>
          <w:sz w:val="28"/>
          <w:szCs w:val="28"/>
        </w:rPr>
        <w:t>2</w:t>
      </w:r>
      <w:r w:rsidR="007C4B78" w:rsidRPr="00D2203C">
        <w:rPr>
          <w:rFonts w:ascii="Times New Roman" w:hAnsi="Times New Roman" w:cs="Times New Roman"/>
          <w:sz w:val="28"/>
          <w:szCs w:val="28"/>
        </w:rPr>
        <w:t xml:space="preserve">2 </w:t>
      </w:r>
      <w:r w:rsidRPr="00D2203C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DC7646" w:rsidRPr="00D2203C">
        <w:rPr>
          <w:rFonts w:ascii="Times New Roman" w:hAnsi="Times New Roman" w:cs="Times New Roman"/>
          <w:sz w:val="28"/>
          <w:szCs w:val="28"/>
        </w:rPr>
        <w:t>230 975,9 тыс. руб.</w:t>
      </w:r>
      <w:r w:rsidR="005536A5" w:rsidRPr="00D2203C">
        <w:rPr>
          <w:rFonts w:ascii="Times New Roman" w:hAnsi="Times New Roman" w:cs="Times New Roman"/>
          <w:sz w:val="28"/>
          <w:szCs w:val="28"/>
        </w:rPr>
        <w:t xml:space="preserve"> </w:t>
      </w:r>
      <w:r w:rsidR="00D2203C" w:rsidRPr="00D2203C">
        <w:rPr>
          <w:rFonts w:ascii="Times New Roman" w:hAnsi="Times New Roman" w:cs="Times New Roman"/>
          <w:sz w:val="28"/>
          <w:szCs w:val="28"/>
        </w:rPr>
        <w:t>или</w:t>
      </w:r>
      <w:r w:rsidR="00667DA6" w:rsidRPr="00D2203C">
        <w:rPr>
          <w:rFonts w:ascii="Times New Roman" w:hAnsi="Times New Roman" w:cs="Times New Roman"/>
          <w:sz w:val="28"/>
          <w:szCs w:val="28"/>
        </w:rPr>
        <w:t xml:space="preserve"> на </w:t>
      </w:r>
      <w:r w:rsidR="00D2203C" w:rsidRPr="00D2203C">
        <w:rPr>
          <w:rFonts w:ascii="Times New Roman" w:hAnsi="Times New Roman" w:cs="Times New Roman"/>
          <w:sz w:val="28"/>
          <w:szCs w:val="28"/>
        </w:rPr>
        <w:t>16</w:t>
      </w:r>
      <w:r w:rsidR="00BA171D" w:rsidRPr="00D2203C">
        <w:rPr>
          <w:rFonts w:ascii="Times New Roman" w:hAnsi="Times New Roman" w:cs="Times New Roman"/>
          <w:sz w:val="28"/>
          <w:szCs w:val="28"/>
        </w:rPr>
        <w:t>,0</w:t>
      </w:r>
      <w:r w:rsidR="00667DA6" w:rsidRPr="00D2203C">
        <w:rPr>
          <w:rFonts w:ascii="Times New Roman" w:hAnsi="Times New Roman" w:cs="Times New Roman"/>
          <w:sz w:val="28"/>
          <w:szCs w:val="28"/>
        </w:rPr>
        <w:t>%, о</w:t>
      </w:r>
      <w:r w:rsidRPr="00D2203C">
        <w:rPr>
          <w:rFonts w:ascii="Times New Roman" w:hAnsi="Times New Roman" w:cs="Times New Roman"/>
          <w:sz w:val="28"/>
          <w:szCs w:val="28"/>
        </w:rPr>
        <w:t xml:space="preserve">бщий объем расходов предлагается увеличить на </w:t>
      </w:r>
      <w:r w:rsidR="00D2203C" w:rsidRPr="00D2203C">
        <w:rPr>
          <w:rFonts w:ascii="Times New Roman" w:hAnsi="Times New Roman" w:cs="Times New Roman"/>
          <w:sz w:val="28"/>
          <w:szCs w:val="28"/>
        </w:rPr>
        <w:t>16</w:t>
      </w:r>
      <w:r w:rsidRPr="00D2203C">
        <w:rPr>
          <w:rFonts w:ascii="Times New Roman" w:hAnsi="Times New Roman" w:cs="Times New Roman"/>
          <w:sz w:val="28"/>
          <w:szCs w:val="28"/>
        </w:rPr>
        <w:t xml:space="preserve">%, </w:t>
      </w:r>
      <w:r w:rsidR="00667DA6" w:rsidRPr="00D2203C">
        <w:rPr>
          <w:rFonts w:ascii="Times New Roman" w:hAnsi="Times New Roman" w:cs="Times New Roman"/>
          <w:sz w:val="28"/>
          <w:szCs w:val="28"/>
        </w:rPr>
        <w:t>т</w:t>
      </w:r>
      <w:r w:rsidRPr="00D2203C">
        <w:rPr>
          <w:rFonts w:ascii="Times New Roman" w:hAnsi="Times New Roman" w:cs="Times New Roman"/>
          <w:sz w:val="28"/>
          <w:szCs w:val="28"/>
        </w:rPr>
        <w:t xml:space="preserve">емп увеличения </w:t>
      </w:r>
      <w:r w:rsidR="00667DA6" w:rsidRPr="00D2203C">
        <w:rPr>
          <w:rFonts w:ascii="Times New Roman" w:hAnsi="Times New Roman" w:cs="Times New Roman"/>
          <w:sz w:val="28"/>
          <w:szCs w:val="28"/>
        </w:rPr>
        <w:t>рас</w:t>
      </w:r>
      <w:r w:rsidR="007121F8" w:rsidRPr="00D2203C">
        <w:rPr>
          <w:rFonts w:ascii="Times New Roman" w:hAnsi="Times New Roman" w:cs="Times New Roman"/>
          <w:sz w:val="28"/>
          <w:szCs w:val="28"/>
        </w:rPr>
        <w:t>ходов</w:t>
      </w:r>
      <w:r w:rsidRPr="00D2203C">
        <w:rPr>
          <w:rFonts w:ascii="Times New Roman" w:hAnsi="Times New Roman" w:cs="Times New Roman"/>
          <w:sz w:val="28"/>
          <w:szCs w:val="28"/>
        </w:rPr>
        <w:t xml:space="preserve">, </w:t>
      </w:r>
      <w:r w:rsidR="00D2203C" w:rsidRPr="00D2203C">
        <w:rPr>
          <w:rFonts w:ascii="Times New Roman" w:hAnsi="Times New Roman" w:cs="Times New Roman"/>
          <w:sz w:val="28"/>
          <w:szCs w:val="28"/>
        </w:rPr>
        <w:t>соответствует</w:t>
      </w:r>
      <w:r w:rsidRPr="00D2203C">
        <w:rPr>
          <w:rFonts w:ascii="Times New Roman" w:hAnsi="Times New Roman" w:cs="Times New Roman"/>
          <w:sz w:val="28"/>
          <w:szCs w:val="28"/>
        </w:rPr>
        <w:t xml:space="preserve"> темп</w:t>
      </w:r>
      <w:r w:rsidR="00D2203C" w:rsidRPr="00D2203C">
        <w:rPr>
          <w:rFonts w:ascii="Times New Roman" w:hAnsi="Times New Roman" w:cs="Times New Roman"/>
          <w:sz w:val="28"/>
          <w:szCs w:val="28"/>
        </w:rPr>
        <w:t>у</w:t>
      </w:r>
      <w:r w:rsidRPr="00D2203C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667DA6" w:rsidRPr="00D2203C">
        <w:rPr>
          <w:rFonts w:ascii="Times New Roman" w:hAnsi="Times New Roman" w:cs="Times New Roman"/>
          <w:sz w:val="28"/>
          <w:szCs w:val="28"/>
        </w:rPr>
        <w:t>до</w:t>
      </w:r>
      <w:r w:rsidR="007121F8" w:rsidRPr="00D2203C">
        <w:rPr>
          <w:rFonts w:ascii="Times New Roman" w:hAnsi="Times New Roman" w:cs="Times New Roman"/>
          <w:sz w:val="28"/>
          <w:szCs w:val="28"/>
        </w:rPr>
        <w:t>ходов</w:t>
      </w:r>
      <w:r w:rsidRPr="00D2203C">
        <w:rPr>
          <w:rFonts w:ascii="Times New Roman" w:hAnsi="Times New Roman" w:cs="Times New Roman"/>
          <w:sz w:val="28"/>
          <w:szCs w:val="28"/>
        </w:rPr>
        <w:t xml:space="preserve">, что </w:t>
      </w:r>
      <w:r w:rsidR="00D2203C" w:rsidRPr="00D2203C">
        <w:rPr>
          <w:rFonts w:ascii="Times New Roman" w:hAnsi="Times New Roman" w:cs="Times New Roman"/>
          <w:sz w:val="28"/>
          <w:szCs w:val="28"/>
        </w:rPr>
        <w:t>не оказывает влияния на</w:t>
      </w:r>
      <w:r w:rsidRPr="00D2203C">
        <w:rPr>
          <w:rFonts w:ascii="Times New Roman" w:hAnsi="Times New Roman" w:cs="Times New Roman"/>
          <w:sz w:val="28"/>
          <w:szCs w:val="28"/>
        </w:rPr>
        <w:t xml:space="preserve"> </w:t>
      </w:r>
      <w:r w:rsidR="00D2203C" w:rsidRPr="00D2203C">
        <w:rPr>
          <w:rFonts w:ascii="Times New Roman" w:hAnsi="Times New Roman" w:cs="Times New Roman"/>
          <w:sz w:val="28"/>
          <w:szCs w:val="28"/>
        </w:rPr>
        <w:t>объем</w:t>
      </w:r>
      <w:r w:rsidR="00667DA6" w:rsidRPr="00D2203C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r w:rsidR="007121F8" w:rsidRPr="00D2203C">
        <w:rPr>
          <w:rFonts w:ascii="Times New Roman" w:hAnsi="Times New Roman" w:cs="Times New Roman"/>
          <w:sz w:val="28"/>
          <w:szCs w:val="28"/>
        </w:rPr>
        <w:t xml:space="preserve">, </w:t>
      </w:r>
      <w:r w:rsidR="00D2203C" w:rsidRPr="00D2203C">
        <w:rPr>
          <w:rFonts w:ascii="Times New Roman" w:hAnsi="Times New Roman" w:cs="Times New Roman"/>
          <w:sz w:val="28"/>
          <w:szCs w:val="28"/>
        </w:rPr>
        <w:t xml:space="preserve">но за счет </w:t>
      </w:r>
      <w:r w:rsidR="00667DA6" w:rsidRPr="00D2203C">
        <w:rPr>
          <w:rFonts w:ascii="Times New Roman" w:hAnsi="Times New Roman" w:cs="Times New Roman"/>
          <w:sz w:val="28"/>
          <w:szCs w:val="28"/>
        </w:rPr>
        <w:t>увеличен</w:t>
      </w:r>
      <w:r w:rsidR="00D2203C" w:rsidRPr="00D2203C">
        <w:rPr>
          <w:rFonts w:ascii="Times New Roman" w:hAnsi="Times New Roman" w:cs="Times New Roman"/>
          <w:sz w:val="28"/>
          <w:szCs w:val="28"/>
        </w:rPr>
        <w:t>ия</w:t>
      </w:r>
      <w:r w:rsidR="007121F8" w:rsidRPr="00D2203C">
        <w:rPr>
          <w:rFonts w:ascii="Times New Roman" w:hAnsi="Times New Roman" w:cs="Times New Roman"/>
          <w:sz w:val="28"/>
          <w:szCs w:val="28"/>
        </w:rPr>
        <w:t xml:space="preserve"> </w:t>
      </w:r>
      <w:r w:rsidR="00D2203C" w:rsidRPr="00D2203C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района, </w:t>
      </w:r>
      <w:r w:rsidR="00667DA6" w:rsidRPr="00D2203C">
        <w:rPr>
          <w:rFonts w:ascii="Times New Roman" w:hAnsi="Times New Roman" w:cs="Times New Roman"/>
          <w:sz w:val="28"/>
          <w:szCs w:val="28"/>
        </w:rPr>
        <w:t>соотношени</w:t>
      </w:r>
      <w:r w:rsidR="00D2203C" w:rsidRPr="00D2203C">
        <w:rPr>
          <w:rFonts w:ascii="Times New Roman" w:hAnsi="Times New Roman" w:cs="Times New Roman"/>
          <w:sz w:val="28"/>
          <w:szCs w:val="28"/>
        </w:rPr>
        <w:t>е</w:t>
      </w:r>
      <w:r w:rsidR="00667DA6" w:rsidRPr="00D2203C">
        <w:rPr>
          <w:rFonts w:ascii="Times New Roman" w:hAnsi="Times New Roman" w:cs="Times New Roman"/>
          <w:sz w:val="28"/>
          <w:szCs w:val="28"/>
        </w:rPr>
        <w:t xml:space="preserve"> </w:t>
      </w:r>
      <w:r w:rsidRPr="00D2203C">
        <w:rPr>
          <w:rFonts w:ascii="Times New Roman" w:hAnsi="Times New Roman" w:cs="Times New Roman"/>
          <w:sz w:val="28"/>
          <w:szCs w:val="28"/>
        </w:rPr>
        <w:t>дефицита районного бюджета к общему объему доходов районного бюджета без учета безвозмездных поступлений</w:t>
      </w:r>
      <w:r w:rsidR="00D2203C" w:rsidRPr="00D2203C">
        <w:rPr>
          <w:rFonts w:ascii="Times New Roman" w:hAnsi="Times New Roman" w:cs="Times New Roman"/>
          <w:sz w:val="28"/>
          <w:szCs w:val="28"/>
        </w:rPr>
        <w:t xml:space="preserve"> сократилось на 0,6%</w:t>
      </w:r>
      <w:r w:rsidRPr="00D220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30" w:rsidRPr="00B83B9C" w:rsidRDefault="00B72A30" w:rsidP="00A4320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финансирования дефицита бюджета привлечены источники внутреннего финансирования дефицита бюджета.</w:t>
      </w:r>
    </w:p>
    <w:p w:rsidR="00B72A30" w:rsidRPr="00390AD2" w:rsidRDefault="00B72A30" w:rsidP="00A4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D2">
        <w:rPr>
          <w:rFonts w:ascii="Times New Roman" w:hAnsi="Times New Roman" w:cs="Times New Roman"/>
          <w:sz w:val="28"/>
          <w:szCs w:val="28"/>
        </w:rPr>
        <w:t>Решением о бюджете была утверждена программа муниципальных внутренних заимствований на 20</w:t>
      </w:r>
      <w:r w:rsidR="00091E1A" w:rsidRPr="00390AD2">
        <w:rPr>
          <w:rFonts w:ascii="Times New Roman" w:hAnsi="Times New Roman" w:cs="Times New Roman"/>
          <w:sz w:val="28"/>
          <w:szCs w:val="28"/>
        </w:rPr>
        <w:t>2</w:t>
      </w:r>
      <w:r w:rsidR="00BA171D" w:rsidRPr="00390AD2">
        <w:rPr>
          <w:rFonts w:ascii="Times New Roman" w:hAnsi="Times New Roman" w:cs="Times New Roman"/>
          <w:sz w:val="28"/>
          <w:szCs w:val="28"/>
        </w:rPr>
        <w:t>2</w:t>
      </w:r>
      <w:r w:rsidRPr="00390AD2">
        <w:rPr>
          <w:rFonts w:ascii="Times New Roman" w:hAnsi="Times New Roman" w:cs="Times New Roman"/>
          <w:sz w:val="28"/>
          <w:szCs w:val="28"/>
        </w:rPr>
        <w:t xml:space="preserve"> год с итогом муниципальных внутренних заимствований в сумме </w:t>
      </w:r>
      <w:r w:rsidR="00390AD2" w:rsidRPr="00390A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D2" w:rsidRPr="0039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4 531,0 </w:t>
      </w:r>
      <w:r w:rsidRPr="00390AD2">
        <w:rPr>
          <w:rFonts w:ascii="Times New Roman" w:hAnsi="Times New Roman" w:cs="Times New Roman"/>
          <w:sz w:val="28"/>
          <w:szCs w:val="28"/>
        </w:rPr>
        <w:t>тыс. руб., на 202</w:t>
      </w:r>
      <w:r w:rsidR="003E09B6" w:rsidRPr="00390AD2">
        <w:rPr>
          <w:rFonts w:ascii="Times New Roman" w:hAnsi="Times New Roman" w:cs="Times New Roman"/>
          <w:sz w:val="28"/>
          <w:szCs w:val="28"/>
        </w:rPr>
        <w:t>3</w:t>
      </w:r>
      <w:r w:rsidRPr="00390AD2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8D4AA2" w:rsidRPr="00390AD2">
        <w:rPr>
          <w:rFonts w:ascii="Times New Roman" w:hAnsi="Times New Roman" w:cs="Times New Roman"/>
          <w:sz w:val="28"/>
          <w:szCs w:val="28"/>
        </w:rPr>
        <w:t>-</w:t>
      </w:r>
      <w:r w:rsidR="003E09B6" w:rsidRPr="00390AD2">
        <w:rPr>
          <w:rFonts w:ascii="Times New Roman" w:hAnsi="Times New Roman" w:cs="Times New Roman"/>
          <w:sz w:val="28"/>
          <w:szCs w:val="28"/>
        </w:rPr>
        <w:t>2 904,0</w:t>
      </w:r>
      <w:r w:rsidRPr="00390AD2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3E09B6" w:rsidRPr="00390AD2">
        <w:rPr>
          <w:rFonts w:ascii="Times New Roman" w:hAnsi="Times New Roman" w:cs="Times New Roman"/>
          <w:sz w:val="28"/>
          <w:szCs w:val="28"/>
        </w:rPr>
        <w:t>4</w:t>
      </w:r>
      <w:r w:rsidRPr="00390AD2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3E09B6" w:rsidRPr="00390AD2">
        <w:rPr>
          <w:rFonts w:ascii="Times New Roman" w:hAnsi="Times New Roman" w:cs="Times New Roman"/>
          <w:sz w:val="28"/>
          <w:szCs w:val="28"/>
        </w:rPr>
        <w:t>0,0</w:t>
      </w:r>
      <w:r w:rsidRPr="00390AD2">
        <w:rPr>
          <w:rFonts w:ascii="Times New Roman" w:hAnsi="Times New Roman" w:cs="Times New Roman"/>
          <w:sz w:val="28"/>
          <w:szCs w:val="28"/>
        </w:rPr>
        <w:t xml:space="preserve"> тыс. руб. Проектом Решения </w:t>
      </w:r>
      <w:r w:rsidR="00D2203C" w:rsidRPr="00390AD2">
        <w:rPr>
          <w:rFonts w:ascii="Times New Roman" w:hAnsi="Times New Roman" w:cs="Times New Roman"/>
          <w:sz w:val="28"/>
          <w:szCs w:val="28"/>
        </w:rPr>
        <w:t xml:space="preserve">не </w:t>
      </w:r>
      <w:r w:rsidRPr="00390AD2">
        <w:rPr>
          <w:rFonts w:ascii="Times New Roman" w:hAnsi="Times New Roman" w:cs="Times New Roman"/>
          <w:sz w:val="28"/>
          <w:szCs w:val="28"/>
        </w:rPr>
        <w:t>предлагается измен</w:t>
      </w:r>
      <w:r w:rsidR="00D2203C" w:rsidRPr="00390AD2">
        <w:rPr>
          <w:rFonts w:ascii="Times New Roman" w:hAnsi="Times New Roman" w:cs="Times New Roman"/>
          <w:sz w:val="28"/>
          <w:szCs w:val="28"/>
        </w:rPr>
        <w:t>я</w:t>
      </w:r>
      <w:r w:rsidRPr="00390AD2">
        <w:rPr>
          <w:rFonts w:ascii="Times New Roman" w:hAnsi="Times New Roman" w:cs="Times New Roman"/>
          <w:sz w:val="28"/>
          <w:szCs w:val="28"/>
        </w:rPr>
        <w:t>ть программу муниципальных внутренних заимствований районного бюджета на 20</w:t>
      </w:r>
      <w:r w:rsidR="00091E1A" w:rsidRPr="00390AD2">
        <w:rPr>
          <w:rFonts w:ascii="Times New Roman" w:hAnsi="Times New Roman" w:cs="Times New Roman"/>
          <w:sz w:val="28"/>
          <w:szCs w:val="28"/>
        </w:rPr>
        <w:t>2</w:t>
      </w:r>
      <w:r w:rsidR="003E09B6" w:rsidRPr="00390AD2">
        <w:rPr>
          <w:rFonts w:ascii="Times New Roman" w:hAnsi="Times New Roman" w:cs="Times New Roman"/>
          <w:sz w:val="28"/>
          <w:szCs w:val="28"/>
        </w:rPr>
        <w:t>2</w:t>
      </w:r>
      <w:r w:rsidRPr="00390AD2">
        <w:rPr>
          <w:rFonts w:ascii="Times New Roman" w:hAnsi="Times New Roman" w:cs="Times New Roman"/>
          <w:sz w:val="28"/>
          <w:szCs w:val="28"/>
        </w:rPr>
        <w:t xml:space="preserve"> г. </w:t>
      </w:r>
      <w:r w:rsidR="00D2203C" w:rsidRPr="00390AD2">
        <w:rPr>
          <w:rFonts w:ascii="Times New Roman" w:hAnsi="Times New Roman" w:cs="Times New Roman"/>
          <w:sz w:val="28"/>
          <w:szCs w:val="28"/>
        </w:rPr>
        <w:t>и</w:t>
      </w:r>
      <w:r w:rsidR="008D4AA2" w:rsidRPr="00390AD2">
        <w:rPr>
          <w:rFonts w:ascii="Times New Roman" w:hAnsi="Times New Roman" w:cs="Times New Roman"/>
          <w:sz w:val="28"/>
          <w:szCs w:val="28"/>
        </w:rPr>
        <w:t xml:space="preserve"> на плановый период 2023 и 2024 годов.</w:t>
      </w:r>
    </w:p>
    <w:p w:rsidR="00557616" w:rsidRDefault="00557616" w:rsidP="00E07C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A30" w:rsidRDefault="00B72A30" w:rsidP="00E07C3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B72A30" w:rsidRPr="008C526F" w:rsidRDefault="00B72A30" w:rsidP="00A4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муниципального района от 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 w:rsidR="00652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413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изменений, </w:t>
      </w:r>
      <w:r w:rsidRPr="008C526F">
        <w:rPr>
          <w:rFonts w:ascii="Times New Roman" w:hAnsi="Times New Roman" w:cs="Times New Roman"/>
          <w:sz w:val="28"/>
          <w:szCs w:val="28"/>
        </w:rPr>
        <w:t>установлен верхний предел муниципального долга Сортавальского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валюте РФ</w:t>
      </w:r>
      <w:r w:rsidRPr="008C526F">
        <w:rPr>
          <w:rFonts w:ascii="Times New Roman" w:hAnsi="Times New Roman" w:cs="Times New Roman"/>
          <w:sz w:val="28"/>
          <w:szCs w:val="28"/>
        </w:rPr>
        <w:t>:</w:t>
      </w:r>
    </w:p>
    <w:p w:rsidR="00B72A30" w:rsidRDefault="00B72A30" w:rsidP="00A4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1345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B45B44">
        <w:rPr>
          <w:rFonts w:ascii="Times New Roman" w:hAnsi="Times New Roman" w:cs="Times New Roman"/>
          <w:sz w:val="28"/>
          <w:szCs w:val="28"/>
        </w:rPr>
        <w:t>188 769,0</w:t>
      </w:r>
      <w:r w:rsidR="00B45B44" w:rsidRPr="005134A0">
        <w:rPr>
          <w:b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рублей;</w:t>
      </w:r>
    </w:p>
    <w:p w:rsidR="00B72A30" w:rsidRDefault="00B72A30" w:rsidP="00A4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F000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B45B44">
        <w:rPr>
          <w:rFonts w:ascii="Times New Roman" w:hAnsi="Times New Roman" w:cs="Times New Roman"/>
          <w:sz w:val="28"/>
          <w:szCs w:val="28"/>
        </w:rPr>
        <w:t xml:space="preserve">185 865,0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Pr="003B5189">
        <w:rPr>
          <w:rFonts w:ascii="Times New Roman" w:hAnsi="Times New Roman" w:cs="Times New Roman"/>
          <w:sz w:val="28"/>
          <w:szCs w:val="28"/>
        </w:rPr>
        <w:t xml:space="preserve">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A30" w:rsidRPr="008C526F" w:rsidRDefault="00B72A30" w:rsidP="00A4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1 января 202</w:t>
      </w:r>
      <w:r w:rsidR="00F00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B45B44">
        <w:rPr>
          <w:rFonts w:ascii="Times New Roman" w:hAnsi="Times New Roman" w:cs="Times New Roman"/>
          <w:sz w:val="28"/>
          <w:szCs w:val="28"/>
        </w:rPr>
        <w:t xml:space="preserve">185 865,0 </w:t>
      </w:r>
      <w:r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C526F">
        <w:rPr>
          <w:rFonts w:ascii="Times New Roman" w:hAnsi="Times New Roman" w:cs="Times New Roman"/>
          <w:sz w:val="28"/>
          <w:szCs w:val="28"/>
        </w:rPr>
        <w:t>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A30" w:rsidRDefault="00B72A30" w:rsidP="00A432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lastRenderedPageBreak/>
        <w:t xml:space="preserve">В проекте Решения верхний предел муниципального долга </w:t>
      </w:r>
      <w:r w:rsidR="00B01344">
        <w:rPr>
          <w:rFonts w:ascii="Times New Roman" w:hAnsi="Times New Roman" w:cs="Times New Roman"/>
          <w:sz w:val="28"/>
          <w:szCs w:val="28"/>
        </w:rPr>
        <w:t xml:space="preserve">не </w:t>
      </w:r>
      <w:r w:rsidR="00FD171C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B01344">
        <w:rPr>
          <w:rFonts w:ascii="Times New Roman" w:hAnsi="Times New Roman" w:cs="Times New Roman"/>
          <w:sz w:val="28"/>
          <w:szCs w:val="28"/>
        </w:rPr>
        <w:t>к изменению.</w:t>
      </w:r>
    </w:p>
    <w:p w:rsidR="00397B5A" w:rsidRPr="00397B5A" w:rsidRDefault="00B72A30" w:rsidP="00A432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397B5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4320F">
        <w:rPr>
          <w:rFonts w:ascii="Times New Roman" w:hAnsi="Times New Roman" w:cs="Times New Roman"/>
          <w:sz w:val="28"/>
          <w:szCs w:val="28"/>
        </w:rPr>
        <w:t>изменя</w:t>
      </w:r>
      <w:r w:rsidR="0031661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предельн</w:t>
      </w:r>
      <w:r w:rsidR="0031661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долга. </w:t>
      </w:r>
      <w:r w:rsidR="00B013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редельные расходы на обслуживание муниципального долга запланированы в объеме </w:t>
      </w:r>
      <w:r w:rsidR="00397B5A" w:rsidRPr="00397B5A">
        <w:rPr>
          <w:rFonts w:ascii="Times New Roman" w:hAnsi="Times New Roman" w:cs="Times New Roman"/>
          <w:sz w:val="28"/>
          <w:szCs w:val="28"/>
        </w:rPr>
        <w:t xml:space="preserve">2022 год в сумме 10 156,0 тыс. руб., на 2023 год в сумме 10 358,0 тыс. руб., на 2024 год в сумме 10 252,0 тыс. руб. </w:t>
      </w:r>
    </w:p>
    <w:p w:rsidR="002E6712" w:rsidRDefault="002E6712" w:rsidP="00A4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ст.111 Бюджетного кодекса РФ,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бюджете, </w:t>
      </w:r>
      <w:r w:rsidRPr="002E671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должен превышать 15 процентов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r w:rsidR="00D264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ходе экспертизы превышение ограничений, установленных ст.111 БК РФ не установлено.</w:t>
      </w:r>
    </w:p>
    <w:p w:rsidR="00B72A30" w:rsidRDefault="00B72A30" w:rsidP="00A4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 xml:space="preserve">Статьей 107 Бюджетного кодекса Российской Федерации определено, что </w:t>
      </w:r>
      <w:r w:rsidR="003166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 w:rsidR="00FD17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</w:t>
      </w:r>
      <w:r w:rsidR="0031661B" w:rsidRPr="003166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D264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ходе экспертизы </w:t>
      </w:r>
      <w:r w:rsidR="00293084">
        <w:rPr>
          <w:rFonts w:ascii="Times New Roman" w:hAnsi="Times New Roman" w:cs="Times New Roman"/>
          <w:sz w:val="28"/>
          <w:szCs w:val="28"/>
        </w:rPr>
        <w:t>превышение ограничений, установленных ч.5 ст.107 БК Р</w:t>
      </w:r>
      <w:r w:rsidR="002E6712">
        <w:rPr>
          <w:rFonts w:ascii="Times New Roman" w:hAnsi="Times New Roman" w:cs="Times New Roman"/>
          <w:sz w:val="28"/>
          <w:szCs w:val="28"/>
        </w:rPr>
        <w:t>Ф</w:t>
      </w:r>
      <w:r w:rsidR="00293084">
        <w:rPr>
          <w:rFonts w:ascii="Times New Roman" w:hAnsi="Times New Roman" w:cs="Times New Roman"/>
          <w:sz w:val="28"/>
          <w:szCs w:val="28"/>
        </w:rPr>
        <w:t xml:space="preserve"> не обнаружено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30" w:rsidRDefault="00B72A30" w:rsidP="00A4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106 БК РФ определено, что п</w:t>
      </w:r>
      <w:r w:rsidRPr="001173C7">
        <w:rPr>
          <w:rFonts w:ascii="Times New Roman" w:hAnsi="Times New Roman" w:cs="Times New Roman"/>
          <w:sz w:val="28"/>
          <w:szCs w:val="28"/>
        </w:rPr>
        <w:t>редельный объем муниципальных заимствований в текущем финансовом году не должен превышать сумму, направляемую в текущем финансовом году на финансирование дефицита соответствующего бюджета и (или) погашение долговых обязательств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Превышения предельного значения объема муниципальных заимствований, установленного бюджетным законодательством, в представленном проекте Решения не допущено. </w:t>
      </w:r>
    </w:p>
    <w:p w:rsidR="00B72A30" w:rsidRPr="008C526F" w:rsidRDefault="00904514" w:rsidP="00A43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B72A30" w:rsidRPr="008C526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2A30" w:rsidRPr="008C526F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районного бюджета на 20</w:t>
      </w:r>
      <w:r w:rsidR="00293084">
        <w:rPr>
          <w:rFonts w:ascii="Times New Roman" w:hAnsi="Times New Roman" w:cs="Times New Roman"/>
          <w:sz w:val="28"/>
          <w:szCs w:val="28"/>
        </w:rPr>
        <w:t>2</w:t>
      </w:r>
      <w:r w:rsidR="008F09D5">
        <w:rPr>
          <w:rFonts w:ascii="Times New Roman" w:hAnsi="Times New Roman" w:cs="Times New Roman"/>
          <w:sz w:val="28"/>
          <w:szCs w:val="28"/>
        </w:rPr>
        <w:t>2</w:t>
      </w:r>
      <w:r w:rsidR="00B72A30" w:rsidRPr="008C52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 и 2024 годов </w:t>
      </w:r>
      <w:r w:rsidR="00166875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>изменения вносить не предлагается</w:t>
      </w:r>
      <w:r w:rsidR="00142D67">
        <w:rPr>
          <w:rFonts w:ascii="Times New Roman" w:hAnsi="Times New Roman" w:cs="Times New Roman"/>
          <w:sz w:val="28"/>
          <w:szCs w:val="28"/>
        </w:rPr>
        <w:t>.</w:t>
      </w:r>
    </w:p>
    <w:p w:rsidR="00D26468" w:rsidRDefault="00D26468" w:rsidP="00E07C36">
      <w:pPr>
        <w:pStyle w:val="a3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30" w:rsidRDefault="00B72A30" w:rsidP="00E07C3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Программная часть проекта Решения</w:t>
      </w:r>
    </w:p>
    <w:p w:rsidR="00B72A30" w:rsidRDefault="00B72A30" w:rsidP="00A432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2282F">
        <w:rPr>
          <w:rFonts w:ascii="Times New Roman" w:hAnsi="Times New Roman" w:cs="Times New Roman"/>
          <w:sz w:val="28"/>
          <w:szCs w:val="28"/>
        </w:rPr>
        <w:t xml:space="preserve">татьей 6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муниципального района от 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муниципального района на 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A461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объеме </w:t>
      </w:r>
      <w:r w:rsidR="0051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1 420 215,5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на 202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объеме </w:t>
      </w:r>
      <w:r w:rsidR="002B3F27">
        <w:rPr>
          <w:rFonts w:ascii="Times New Roman" w:eastAsia="Times New Roman" w:hAnsi="Times New Roman" w:cs="Times New Roman"/>
          <w:sz w:val="28"/>
          <w:szCs w:val="28"/>
          <w:lang w:eastAsia="ru-RU"/>
        </w:rPr>
        <w:t>1 089 546,4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202</w:t>
      </w:r>
      <w:r w:rsidR="00E2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объеме </w:t>
      </w:r>
      <w:r w:rsidR="002B3F27">
        <w:rPr>
          <w:rFonts w:ascii="Times New Roman" w:eastAsia="Times New Roman" w:hAnsi="Times New Roman" w:cs="Times New Roman"/>
          <w:sz w:val="28"/>
          <w:szCs w:val="28"/>
          <w:lang w:eastAsia="ru-RU"/>
        </w:rPr>
        <w:t>917 050,8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Проектом Решения предлагается внести изменения в сумму утвержденных бюджетных ассигнований на реализацию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программ, увеличив её на 20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на </w:t>
      </w:r>
      <w:r w:rsidR="00D0123A">
        <w:rPr>
          <w:rFonts w:ascii="Times New Roman" w:eastAsia="Times New Roman" w:hAnsi="Times New Roman" w:cs="Times New Roman"/>
          <w:sz w:val="28"/>
          <w:szCs w:val="28"/>
          <w:lang w:eastAsia="ru-RU"/>
        </w:rPr>
        <w:t>236 025,63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93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сократив </w:t>
      </w:r>
      <w:r w:rsidR="00BA7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59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</w:t>
      </w:r>
      <w:r w:rsidR="00934FCD">
        <w:rPr>
          <w:rFonts w:ascii="Times New Roman" w:eastAsia="Times New Roman" w:hAnsi="Times New Roman" w:cs="Times New Roman"/>
          <w:sz w:val="28"/>
          <w:szCs w:val="28"/>
          <w:lang w:eastAsia="ru-RU"/>
        </w:rPr>
        <w:t>132 556,2</w:t>
      </w:r>
      <w:r w:rsidR="00BA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B97" w:rsidRDefault="00B72A30" w:rsidP="00A432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периоде увеличен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планируется на реализацию мероприятий муниципальных программ: «Развитие образования в Сортавальском муниципальном районе» на 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35 145,4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BF3" w:rsidRP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культуры, физической культуры, спорта и молодежной политики Сортавальского муниципального района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13 093,1</w:t>
      </w:r>
      <w:r w:rsid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14AE" w:rsidRPr="00711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малого и среднего предпринимательства в Сортавальском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4 130,8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«Управление муниципальным имуществом и градостроительство Сортавальского муниципального района» на 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173 753,6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«Повышение эффективности муниципального управления Сортавальского муниципального района» на 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9 223,7</w:t>
      </w:r>
      <w:r w:rsidR="0017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37B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B97" w:rsidRPr="0093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B97" w:rsidRPr="00174DA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муниципальными финансами в Сортавальском муниципальном районе»</w:t>
      </w:r>
      <w:r w:rsidR="0093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806,0</w:t>
      </w:r>
      <w:r w:rsidR="0093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объема бюджетных ассигнований планируется на реализацию мероприятий муниципальной программы</w:t>
      </w:r>
      <w:r w:rsidR="00AF541D" w:rsidRP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41D" w:rsidRPr="00573B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 Сортавальского муниципального района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127,0 тыс. руб.</w:t>
      </w:r>
    </w:p>
    <w:p w:rsidR="00D401B3" w:rsidRDefault="00B72A30" w:rsidP="00051F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муниципальных программ косн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 в Сортавальском муниципальном районе» на 72,3 тыс. руб.</w:t>
      </w:r>
      <w:r w:rsidR="006D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бюджетных ассигнований планируется по муниципальн</w:t>
      </w:r>
      <w:r w:rsidR="0071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45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114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муниципальным имуществом и градостроительство Сортавальского муниципального района» на 132 628,5 тыс. руб.</w:t>
      </w:r>
    </w:p>
    <w:p w:rsidR="006D626B" w:rsidRDefault="006D626B" w:rsidP="00051FC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051FC1">
      <w:pPr>
        <w:pStyle w:val="a3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32282F">
        <w:rPr>
          <w:rFonts w:ascii="Times New Roman" w:hAnsi="Times New Roman" w:cs="Times New Roman"/>
          <w:b/>
          <w:sz w:val="28"/>
          <w:szCs w:val="28"/>
        </w:rPr>
        <w:t>Анализ текстовых статей проекта Решения</w:t>
      </w:r>
      <w:r w:rsidRPr="00555FE7">
        <w:rPr>
          <w:rFonts w:ascii="Arial" w:hAnsi="Arial" w:cs="Arial"/>
          <w:b/>
          <w:sz w:val="28"/>
          <w:szCs w:val="28"/>
        </w:rPr>
        <w:t xml:space="preserve"> </w:t>
      </w:r>
    </w:p>
    <w:p w:rsidR="00601145" w:rsidRDefault="00601145" w:rsidP="00051FC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1A2260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2447E1">
        <w:rPr>
          <w:rFonts w:ascii="Times New Roman" w:hAnsi="Times New Roman" w:cs="Times New Roman"/>
          <w:sz w:val="28"/>
          <w:szCs w:val="28"/>
        </w:rPr>
        <w:t>установлено</w:t>
      </w:r>
      <w:r w:rsidR="001A2260">
        <w:rPr>
          <w:rFonts w:ascii="Times New Roman" w:hAnsi="Times New Roman" w:cs="Times New Roman"/>
          <w:sz w:val="28"/>
          <w:szCs w:val="28"/>
        </w:rPr>
        <w:t>.</w:t>
      </w:r>
    </w:p>
    <w:p w:rsidR="00B95E3A" w:rsidRDefault="00B95E3A" w:rsidP="00051FC1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32282F" w:rsidRPr="00EF127E" w:rsidRDefault="003E44C4" w:rsidP="00051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Приложениях </w:t>
      </w:r>
      <w:r w:rsidR="00AF60F1"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</w:t>
      </w:r>
      <w:r w:rsidRPr="00FA0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Приказу Минфина России от 8 июня 2021 г. N 75н «Об утверждении кодов (перечней кодов) бюджетной классификации Российской Федерации на 2022 год (на 2022 год и на </w:t>
      </w:r>
      <w:r w:rsidRPr="00EF127E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плановый период 2023 и 2024 годов)</w:t>
      </w:r>
      <w:r w:rsidR="00A4617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F12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6468" w:rsidRPr="00EF127E" w:rsidRDefault="00D26468" w:rsidP="00051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DD4" w:rsidRDefault="00555DD4" w:rsidP="00051F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71B8">
        <w:rPr>
          <w:rFonts w:ascii="Times New Roman" w:hAnsi="Times New Roman" w:cs="Times New Roman"/>
          <w:b/>
          <w:sz w:val="28"/>
          <w:szCs w:val="28"/>
        </w:rPr>
        <w:t>Выводы</w:t>
      </w:r>
      <w:r w:rsidRPr="00D471B8">
        <w:rPr>
          <w:rFonts w:ascii="Times New Roman" w:hAnsi="Times New Roman" w:cs="Times New Roman"/>
          <w:sz w:val="28"/>
          <w:szCs w:val="28"/>
        </w:rPr>
        <w:t>:</w:t>
      </w:r>
    </w:p>
    <w:p w:rsidR="00567EF8" w:rsidRPr="00FA21C4" w:rsidRDefault="00FD3225" w:rsidP="00051FC1">
      <w:pPr>
        <w:pStyle w:val="a3"/>
        <w:widowControl w:val="0"/>
        <w:numPr>
          <w:ilvl w:val="0"/>
          <w:numId w:val="16"/>
        </w:numPr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567EF8">
        <w:rPr>
          <w:rFonts w:ascii="Times New Roman" w:hAnsi="Times New Roman" w:cs="Times New Roman"/>
          <w:sz w:val="28"/>
          <w:szCs w:val="28"/>
        </w:rPr>
        <w:t>Корректировка бюджета обусловл</w:t>
      </w:r>
      <w:r w:rsidR="002447E1">
        <w:rPr>
          <w:rFonts w:ascii="Times New Roman" w:hAnsi="Times New Roman" w:cs="Times New Roman"/>
          <w:sz w:val="28"/>
          <w:szCs w:val="28"/>
        </w:rPr>
        <w:t xml:space="preserve">ена уточнением прогноза </w:t>
      </w:r>
      <w:r w:rsidR="003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доходов, а также </w:t>
      </w:r>
      <w:r w:rsidRPr="00567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в бюджет Сортавальского муниципального ра</w:t>
      </w:r>
      <w:r w:rsidR="00AF60F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из бюджетов других уровней</w:t>
      </w:r>
      <w:r w:rsidR="003E3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978" w:rsidRPr="00E07C36" w:rsidRDefault="00FB2978" w:rsidP="00051FC1">
      <w:pPr>
        <w:pStyle w:val="a3"/>
        <w:widowControl w:val="0"/>
        <w:numPr>
          <w:ilvl w:val="0"/>
          <w:numId w:val="16"/>
        </w:numPr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E07C36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051FC1">
        <w:rPr>
          <w:rFonts w:ascii="Times New Roman" w:hAnsi="Times New Roman" w:cs="Times New Roman"/>
          <w:sz w:val="28"/>
          <w:szCs w:val="28"/>
        </w:rPr>
        <w:t>предлагается</w:t>
      </w:r>
      <w:r w:rsidRPr="00E07C36">
        <w:rPr>
          <w:rFonts w:ascii="Times New Roman" w:hAnsi="Times New Roman" w:cs="Times New Roman"/>
          <w:sz w:val="28"/>
          <w:szCs w:val="28"/>
        </w:rPr>
        <w:t xml:space="preserve"> изменений основных характеристик бюджета Сортавальского муниципального района, к которым, в соответствии с п.1 ст. 184.1 БК РФ, относятся общий объем доходов, общий объем расходов:</w:t>
      </w:r>
    </w:p>
    <w:p w:rsidR="003E3B9B" w:rsidRPr="00051FC1" w:rsidRDefault="005D1200" w:rsidP="00051FC1">
      <w:pPr>
        <w:pStyle w:val="a3"/>
        <w:spacing w:after="0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sz w:val="28"/>
          <w:szCs w:val="28"/>
        </w:rPr>
        <w:t>- на 20</w:t>
      </w:r>
      <w:r w:rsidR="002447E1" w:rsidRPr="00051FC1">
        <w:rPr>
          <w:rFonts w:ascii="Times New Roman" w:hAnsi="Times New Roman" w:cs="Times New Roman"/>
          <w:sz w:val="28"/>
          <w:szCs w:val="28"/>
        </w:rPr>
        <w:t>2</w:t>
      </w:r>
      <w:r w:rsidR="003E44C4" w:rsidRPr="00051FC1">
        <w:rPr>
          <w:rFonts w:ascii="Times New Roman" w:hAnsi="Times New Roman" w:cs="Times New Roman"/>
          <w:sz w:val="28"/>
          <w:szCs w:val="28"/>
        </w:rPr>
        <w:t>2</w:t>
      </w:r>
      <w:r w:rsidR="00A865ED" w:rsidRPr="00051FC1">
        <w:rPr>
          <w:rFonts w:ascii="Times New Roman" w:hAnsi="Times New Roman" w:cs="Times New Roman"/>
          <w:sz w:val="28"/>
          <w:szCs w:val="28"/>
        </w:rPr>
        <w:t xml:space="preserve"> финансовый год:</w:t>
      </w:r>
    </w:p>
    <w:p w:rsidR="00051FC1" w:rsidRPr="00051FC1" w:rsidRDefault="00051FC1" w:rsidP="00051FC1">
      <w:pPr>
        <w:pStyle w:val="a3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-доходы бюджета </w:t>
      </w:r>
      <w:r w:rsidRPr="00051FC1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бюджетом, с учетом ранее внесенных изменений,</w:t>
      </w:r>
      <w:r w:rsidRPr="0005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FC1">
        <w:rPr>
          <w:rFonts w:ascii="Times New Roman" w:hAnsi="Times New Roman" w:cs="Times New Roman"/>
          <w:sz w:val="28"/>
          <w:szCs w:val="28"/>
        </w:rPr>
        <w:t xml:space="preserve">увеличиваются на 230 975,98 тыс. руб., в том числе безвозмездные поступления увеличатся на 189 648,0 тыс. руб. </w:t>
      </w:r>
    </w:p>
    <w:p w:rsidR="00051FC1" w:rsidRPr="00051FC1" w:rsidRDefault="00051FC1" w:rsidP="00051FC1">
      <w:pPr>
        <w:pStyle w:val="a3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b/>
          <w:sz w:val="28"/>
          <w:szCs w:val="28"/>
          <w:u w:val="single"/>
        </w:rPr>
        <w:t>-расходы бюджета</w:t>
      </w:r>
      <w:r w:rsidRPr="00051FC1">
        <w:rPr>
          <w:rFonts w:ascii="Times New Roman" w:hAnsi="Times New Roman" w:cs="Times New Roman"/>
          <w:sz w:val="28"/>
          <w:szCs w:val="28"/>
        </w:rPr>
        <w:t xml:space="preserve"> в целом по сравнению с утвержденным бюджетом, с учетом ранее внесенных изменений, увеличиваются на 230 975,98 тыс. руб. </w:t>
      </w:r>
    </w:p>
    <w:p w:rsidR="00051FC1" w:rsidRPr="00051FC1" w:rsidRDefault="00051FC1" w:rsidP="00051FC1">
      <w:pPr>
        <w:pStyle w:val="a3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Pr="00051FC1">
        <w:rPr>
          <w:rFonts w:ascii="Times New Roman" w:hAnsi="Times New Roman" w:cs="Times New Roman"/>
          <w:sz w:val="28"/>
          <w:szCs w:val="28"/>
        </w:rPr>
        <w:t>предлагается оставить в утвержденных объемах, он составит 30 298,7 тыс. руб.</w:t>
      </w:r>
    </w:p>
    <w:p w:rsidR="00051FC1" w:rsidRPr="00051FC1" w:rsidRDefault="00051FC1" w:rsidP="00051FC1">
      <w:pPr>
        <w:pStyle w:val="a3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b/>
          <w:sz w:val="28"/>
          <w:szCs w:val="28"/>
          <w:u w:val="single"/>
        </w:rPr>
        <w:t xml:space="preserve">-верхний предел муниципального внутреннего долга Сортавальского муниципального района </w:t>
      </w:r>
      <w:r w:rsidRPr="00051FC1">
        <w:rPr>
          <w:rFonts w:ascii="Times New Roman" w:hAnsi="Times New Roman" w:cs="Times New Roman"/>
          <w:sz w:val="28"/>
          <w:szCs w:val="28"/>
        </w:rPr>
        <w:t>на 1 января 2023 года, в валюте РФ не предлагается к изменению и составляет 188 769,0 тыс. руб., в том числе верхний предел долга по муниципальным гарантиям Сортавальского муниципального района в валюте Российской Федерации в сумме 0 руб.</w:t>
      </w:r>
    </w:p>
    <w:p w:rsidR="00051FC1" w:rsidRPr="00051FC1" w:rsidRDefault="00051FC1" w:rsidP="00051FC1">
      <w:pPr>
        <w:pStyle w:val="a3"/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</w:p>
    <w:p w:rsidR="00051FC1" w:rsidRPr="00051FC1" w:rsidRDefault="00051FC1" w:rsidP="00051FC1">
      <w:pPr>
        <w:pStyle w:val="a3"/>
        <w:spacing w:after="0" w:line="240" w:lineRule="auto"/>
        <w:ind w:left="79" w:firstLine="631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sz w:val="28"/>
          <w:szCs w:val="28"/>
        </w:rPr>
        <w:t xml:space="preserve">Проектом Решения также предлагается внесение изменений в основные характеристики бюджета на плановый период 2023 года. </w:t>
      </w:r>
    </w:p>
    <w:p w:rsidR="00051FC1" w:rsidRPr="00051FC1" w:rsidRDefault="00051FC1" w:rsidP="00051FC1">
      <w:pPr>
        <w:pStyle w:val="a3"/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-доходы бюджета </w:t>
      </w:r>
      <w:r w:rsidRPr="00051FC1">
        <w:rPr>
          <w:rFonts w:ascii="Times New Roman" w:hAnsi="Times New Roman" w:cs="Times New Roman"/>
          <w:sz w:val="28"/>
          <w:szCs w:val="28"/>
        </w:rPr>
        <w:t>по сравнению с утвержденным бюджетом, с учетом ранее внесенных изменений,</w:t>
      </w:r>
      <w:r w:rsidRPr="0005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FC1">
        <w:rPr>
          <w:rFonts w:ascii="Times New Roman" w:hAnsi="Times New Roman" w:cs="Times New Roman"/>
          <w:sz w:val="28"/>
          <w:szCs w:val="28"/>
        </w:rPr>
        <w:t xml:space="preserve">сокращаются на 132 556,2 тыс. руб., в том числе безвозмездные поступления сокращаются на 132 556,2 тыс. руб. </w:t>
      </w:r>
    </w:p>
    <w:p w:rsidR="00051FC1" w:rsidRPr="00051FC1" w:rsidRDefault="00051FC1" w:rsidP="00051FC1">
      <w:pPr>
        <w:pStyle w:val="a3"/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b/>
          <w:sz w:val="28"/>
          <w:szCs w:val="28"/>
          <w:u w:val="single"/>
        </w:rPr>
        <w:t xml:space="preserve">-расходы бюджета </w:t>
      </w:r>
      <w:r w:rsidRPr="00051FC1">
        <w:rPr>
          <w:rFonts w:ascii="Times New Roman" w:hAnsi="Times New Roman" w:cs="Times New Roman"/>
          <w:sz w:val="28"/>
          <w:szCs w:val="28"/>
        </w:rPr>
        <w:t>в целом по сравнению с утвержденным бюджетом с учетом ранее внесенных изменений</w:t>
      </w:r>
      <w:r w:rsidRPr="0005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FC1">
        <w:rPr>
          <w:rFonts w:ascii="Times New Roman" w:hAnsi="Times New Roman" w:cs="Times New Roman"/>
          <w:sz w:val="28"/>
          <w:szCs w:val="28"/>
        </w:rPr>
        <w:t>сокращаются на 132 556,2 тыс. руб.</w:t>
      </w:r>
    </w:p>
    <w:p w:rsidR="00051FC1" w:rsidRPr="00051FC1" w:rsidRDefault="00051FC1" w:rsidP="00051FC1">
      <w:pPr>
        <w:pStyle w:val="a3"/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b/>
          <w:sz w:val="28"/>
          <w:szCs w:val="28"/>
          <w:u w:val="single"/>
        </w:rPr>
        <w:t xml:space="preserve">-дефицит бюджета </w:t>
      </w:r>
      <w:r w:rsidRPr="00051FC1">
        <w:rPr>
          <w:rFonts w:ascii="Times New Roman" w:hAnsi="Times New Roman" w:cs="Times New Roman"/>
          <w:sz w:val="28"/>
          <w:szCs w:val="28"/>
        </w:rPr>
        <w:t>в плановом периоде 2023 года предлагается оставить в утвержденных объемах.</w:t>
      </w:r>
    </w:p>
    <w:p w:rsidR="00051FC1" w:rsidRPr="00051FC1" w:rsidRDefault="00051FC1" w:rsidP="00051FC1">
      <w:pPr>
        <w:pStyle w:val="a3"/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b/>
          <w:sz w:val="28"/>
          <w:szCs w:val="28"/>
          <w:u w:val="single"/>
        </w:rPr>
        <w:t xml:space="preserve">-верхний предел муниципального внутреннего долга Сортавальского муниципального района </w:t>
      </w:r>
      <w:r w:rsidRPr="00051FC1">
        <w:rPr>
          <w:rFonts w:ascii="Times New Roman" w:hAnsi="Times New Roman" w:cs="Times New Roman"/>
          <w:sz w:val="28"/>
          <w:szCs w:val="28"/>
        </w:rPr>
        <w:t>на 1 января 2024 года, в валюте РФ по сравнению с утвержденным бюджетом с учетом ранее внесенных изменений</w:t>
      </w:r>
      <w:r w:rsidRPr="0005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FC1">
        <w:rPr>
          <w:rFonts w:ascii="Times New Roman" w:hAnsi="Times New Roman" w:cs="Times New Roman"/>
          <w:sz w:val="28"/>
          <w:szCs w:val="28"/>
        </w:rPr>
        <w:t>не предлагается к изменению, он составит 185 865,0 тыс. руб., в том числе верхний предел долга по муниципальным гарантиям Сортавальского муниципального района в валюте Российской Федерации в сумме 0 руб. на каждый год планового периода.</w:t>
      </w:r>
    </w:p>
    <w:p w:rsidR="00051FC1" w:rsidRPr="00051FC1" w:rsidRDefault="00051FC1" w:rsidP="00051FC1">
      <w:pPr>
        <w:pStyle w:val="a3"/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sz w:val="28"/>
          <w:szCs w:val="28"/>
        </w:rPr>
        <w:t xml:space="preserve">Представленным проектом не предлагается внесение изменений в основные характеристики бюджета на плановый период 2024 года. </w:t>
      </w:r>
    </w:p>
    <w:p w:rsidR="00F84EBD" w:rsidRPr="00E07C36" w:rsidRDefault="0015458E" w:rsidP="00051FC1">
      <w:pPr>
        <w:pStyle w:val="a3"/>
        <w:numPr>
          <w:ilvl w:val="0"/>
          <w:numId w:val="16"/>
        </w:numPr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E07C36">
        <w:rPr>
          <w:rFonts w:ascii="Times New Roman" w:hAnsi="Times New Roman" w:cs="Times New Roman"/>
          <w:sz w:val="28"/>
          <w:szCs w:val="28"/>
        </w:rPr>
        <w:t>К</w:t>
      </w:r>
      <w:r w:rsidR="00F84EBD" w:rsidRPr="00E07C36">
        <w:rPr>
          <w:rFonts w:ascii="Times New Roman" w:hAnsi="Times New Roman" w:cs="Times New Roman"/>
          <w:sz w:val="28"/>
          <w:szCs w:val="28"/>
        </w:rPr>
        <w:t>орректировка бюджетных ассигнований предполагает сохранение расходных обязательств по приоритетным направлениям,</w:t>
      </w:r>
      <w:r w:rsidR="00FB2978" w:rsidRPr="00E07C36">
        <w:rPr>
          <w:rFonts w:ascii="Times New Roman" w:hAnsi="Times New Roman" w:cs="Times New Roman"/>
          <w:sz w:val="28"/>
          <w:szCs w:val="28"/>
        </w:rPr>
        <w:t xml:space="preserve"> </w:t>
      </w:r>
      <w:r w:rsidR="00F84EBD" w:rsidRPr="00E07C36">
        <w:rPr>
          <w:rFonts w:ascii="Times New Roman" w:hAnsi="Times New Roman" w:cs="Times New Roman"/>
          <w:sz w:val="28"/>
          <w:szCs w:val="28"/>
        </w:rPr>
        <w:t>ранее утвержденным в районном бюджете.</w:t>
      </w:r>
    </w:p>
    <w:p w:rsidR="00FB56BF" w:rsidRPr="00250957" w:rsidRDefault="0015458E" w:rsidP="00051FC1">
      <w:pPr>
        <w:pStyle w:val="a3"/>
        <w:widowControl w:val="0"/>
        <w:spacing w:after="0" w:line="240" w:lineRule="auto"/>
        <w:ind w:lef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F84EBD" w:rsidRPr="00D942EE">
        <w:rPr>
          <w:rFonts w:ascii="Times New Roman" w:hAnsi="Times New Roman" w:cs="Times New Roman"/>
          <w:sz w:val="28"/>
          <w:szCs w:val="28"/>
        </w:rPr>
        <w:t xml:space="preserve">к в структуре общего объема планируемых расходов бюджета Сортавальского муниципального района </w:t>
      </w:r>
      <w:r w:rsidR="008804A5">
        <w:rPr>
          <w:rFonts w:ascii="Times New Roman" w:hAnsi="Times New Roman" w:cs="Times New Roman"/>
          <w:sz w:val="28"/>
          <w:szCs w:val="28"/>
        </w:rPr>
        <w:t xml:space="preserve">на 2020г. </w:t>
      </w:r>
      <w:r w:rsidR="00F84EBD" w:rsidRPr="00D942EE">
        <w:rPr>
          <w:rFonts w:ascii="Times New Roman" w:hAnsi="Times New Roman" w:cs="Times New Roman"/>
          <w:sz w:val="28"/>
          <w:szCs w:val="28"/>
        </w:rPr>
        <w:t xml:space="preserve">наибольший удельный вес будут занимать расходы, направленные </w:t>
      </w:r>
      <w:r w:rsidR="00E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образование </w:t>
      </w:r>
      <w:proofErr w:type="spellStart"/>
      <w:r w:rsidR="00FB56B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spellEnd"/>
      <w:r w:rsidR="00FB56B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48,2 процента (в утвержденном бюджете – 53,4 процентов), в 2023г. – 70,6% (62,1%);</w:t>
      </w:r>
      <w:r w:rsidR="00FB56BF" w:rsidRPr="0042457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B56B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общегосударственные расходы в 2022г.– 5,3 процентов (5,7%), в 2023г. – 7,2% (6,3%); на социальную политику в 2022г. – 3,6 процента (4,2%), в 2023г. – 4,9% (5,6%); на культуру и кинематографию в 2022г.– 3,7 процентов (4,0%), в 2023г – 4,1%(3,6%); на жилищно-коммунальное хозяйство в 2022г.- 28,4 процентов (26,3%),</w:t>
      </w:r>
      <w:r w:rsidR="00FB56BF" w:rsidRPr="0042457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B56BF" w:rsidRPr="0025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2023г. -  5,7%(17%). </w:t>
      </w:r>
    </w:p>
    <w:p w:rsidR="00FB56BF" w:rsidRPr="00051FC1" w:rsidRDefault="00051FC1" w:rsidP="00051FC1">
      <w:pPr>
        <w:pStyle w:val="a3"/>
        <w:widowControl w:val="0"/>
        <w:numPr>
          <w:ilvl w:val="0"/>
          <w:numId w:val="16"/>
        </w:numPr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sz w:val="28"/>
          <w:szCs w:val="28"/>
        </w:rPr>
        <w:lastRenderedPageBreak/>
        <w:t xml:space="preserve">В проекте Решения соблюдены ограничения, установленные </w:t>
      </w:r>
      <w:r w:rsidRPr="000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статьи 92.1 </w:t>
      </w:r>
      <w:r w:rsidRPr="00051FC1">
        <w:rPr>
          <w:rFonts w:ascii="Times New Roman" w:hAnsi="Times New Roman" w:cs="Times New Roman"/>
          <w:sz w:val="28"/>
          <w:szCs w:val="28"/>
        </w:rPr>
        <w:t>Бюджетным кодексом РФ, по размеру дефицита районного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6BF" w:rsidRPr="00051FC1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доходов районного бюджета по отношению к первоначально утвержденному бюджету с учетом ранее внесенных изменений в 2022 году на 16,0%, общий объем расходов предлагается увеличить на 16%, темп увеличения расходов, соответствует темпу увеличения доходов, что не оказывает влияния на объем дефицита бюджета, но за счет увеличения налоговых и неналоговых доходов района, соотношение дефицита районного бюджета к общему объему доходов районного бюджета без учета безвозмездных поступлений сократилось на 0,6%. </w:t>
      </w:r>
    </w:p>
    <w:p w:rsidR="00E07C36" w:rsidRPr="00745C16" w:rsidRDefault="002C6193" w:rsidP="00051FC1">
      <w:pPr>
        <w:pStyle w:val="a3"/>
        <w:widowControl w:val="0"/>
        <w:numPr>
          <w:ilvl w:val="0"/>
          <w:numId w:val="16"/>
        </w:numPr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745C16">
        <w:rPr>
          <w:rFonts w:ascii="Times New Roman" w:hAnsi="Times New Roman" w:cs="Times New Roman"/>
          <w:sz w:val="28"/>
          <w:szCs w:val="28"/>
        </w:rPr>
        <w:t>Превышения предельного значения объема муниципальных заимствований, установленного ст.106 Бюджетного кодекса РФ, в представленном проекте Решения не допущено.</w:t>
      </w:r>
    </w:p>
    <w:p w:rsidR="002C6193" w:rsidRPr="00051FC1" w:rsidRDefault="002C6193" w:rsidP="00051FC1">
      <w:pPr>
        <w:pStyle w:val="a3"/>
        <w:widowControl w:val="0"/>
        <w:numPr>
          <w:ilvl w:val="0"/>
          <w:numId w:val="16"/>
        </w:numPr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051FC1">
        <w:rPr>
          <w:rFonts w:ascii="Times New Roman" w:hAnsi="Times New Roman" w:cs="Times New Roman"/>
          <w:sz w:val="28"/>
          <w:szCs w:val="28"/>
        </w:rPr>
        <w:t>Расходы бюджета района на обслуживание муниципального долга не превышают предельных значений, установленных статьей 111 Бюджетного кодекса РФ.</w:t>
      </w:r>
    </w:p>
    <w:p w:rsidR="00645DF6" w:rsidRPr="00E07C36" w:rsidRDefault="00CB6009" w:rsidP="00051FC1">
      <w:pPr>
        <w:pStyle w:val="a3"/>
        <w:widowControl w:val="0"/>
        <w:numPr>
          <w:ilvl w:val="0"/>
          <w:numId w:val="16"/>
        </w:numPr>
        <w:spacing w:after="0" w:line="240" w:lineRule="auto"/>
        <w:ind w:lef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36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Решения, </w:t>
      </w:r>
      <w:r w:rsidR="00645DF6" w:rsidRPr="00E07C36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0F2BC5" w:rsidRPr="00E07C36">
        <w:rPr>
          <w:rFonts w:ascii="Times New Roman" w:hAnsi="Times New Roman" w:cs="Times New Roman"/>
          <w:sz w:val="28"/>
          <w:szCs w:val="28"/>
        </w:rPr>
        <w:t>установлено</w:t>
      </w:r>
      <w:r w:rsidR="00691CD4">
        <w:rPr>
          <w:rFonts w:ascii="Times New Roman" w:hAnsi="Times New Roman" w:cs="Times New Roman"/>
          <w:sz w:val="28"/>
          <w:szCs w:val="28"/>
        </w:rPr>
        <w:t>.</w:t>
      </w:r>
    </w:p>
    <w:p w:rsidR="00E07C36" w:rsidRPr="00E07C36" w:rsidRDefault="00E07C36" w:rsidP="00051FC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9"/>
        <w:jc w:val="both"/>
        <w:rPr>
          <w:rFonts w:ascii="Times New Roman" w:hAnsi="Times New Roman" w:cs="Times New Roman"/>
          <w:sz w:val="28"/>
          <w:szCs w:val="28"/>
        </w:rPr>
      </w:pPr>
      <w:r w:rsidRPr="00E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представленных на экспертизу Приложениях к проекту Решения применяются коды в соответствии с </w:t>
      </w:r>
      <w:r w:rsidRPr="00E07C36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Приказу Минфина России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691CD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07C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7C36" w:rsidRPr="00E07C36" w:rsidRDefault="00E07C36" w:rsidP="00E07C3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5EF8" w:rsidRDefault="004D5EF8" w:rsidP="00E07C36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E6712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 w:cs="Times New Roman"/>
          <w:sz w:val="28"/>
          <w:szCs w:val="28"/>
        </w:rPr>
        <w:t>:</w:t>
      </w:r>
    </w:p>
    <w:p w:rsidR="009E632C" w:rsidRPr="00FD138A" w:rsidRDefault="00D942EE" w:rsidP="0058691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8"/>
          <w:szCs w:val="28"/>
        </w:rPr>
      </w:pPr>
      <w:r w:rsidRPr="00A8556E">
        <w:rPr>
          <w:rFonts w:ascii="Times New Roman" w:hAnsi="Times New Roman"/>
          <w:sz w:val="28"/>
          <w:szCs w:val="28"/>
        </w:rPr>
        <w:t>Совету Сортавальского муниципального района рекомендовать</w:t>
      </w:r>
      <w:r w:rsidR="000F2BC5">
        <w:rPr>
          <w:rFonts w:ascii="Times New Roman" w:hAnsi="Times New Roman"/>
          <w:sz w:val="28"/>
          <w:szCs w:val="28"/>
        </w:rPr>
        <w:t xml:space="preserve"> </w:t>
      </w:r>
      <w:r w:rsidR="00FB5A6F">
        <w:rPr>
          <w:rFonts w:ascii="Times New Roman" w:hAnsi="Times New Roman"/>
          <w:sz w:val="28"/>
          <w:szCs w:val="28"/>
        </w:rPr>
        <w:t>принять</w:t>
      </w:r>
      <w:r w:rsidR="003F64B5">
        <w:rPr>
          <w:rFonts w:ascii="Times New Roman" w:hAnsi="Times New Roman"/>
          <w:sz w:val="28"/>
          <w:szCs w:val="28"/>
        </w:rPr>
        <w:t xml:space="preserve"> проект решения Совета Сортавальского муниципального района «О внесении изменений</w:t>
      </w:r>
      <w:r w:rsidRPr="009E632C">
        <w:rPr>
          <w:rFonts w:ascii="Times New Roman" w:hAnsi="Times New Roman"/>
          <w:sz w:val="28"/>
          <w:szCs w:val="28"/>
        </w:rPr>
        <w:t xml:space="preserve"> и дополнени</w:t>
      </w:r>
      <w:r w:rsidR="003F64B5">
        <w:rPr>
          <w:rFonts w:ascii="Times New Roman" w:hAnsi="Times New Roman"/>
          <w:sz w:val="28"/>
          <w:szCs w:val="28"/>
        </w:rPr>
        <w:t>й</w:t>
      </w:r>
      <w:r w:rsidR="00D64382">
        <w:rPr>
          <w:rFonts w:ascii="Times New Roman" w:hAnsi="Times New Roman"/>
          <w:sz w:val="28"/>
          <w:szCs w:val="28"/>
        </w:rPr>
        <w:t xml:space="preserve"> в решение </w:t>
      </w:r>
      <w:r w:rsidRPr="009E632C">
        <w:rPr>
          <w:rFonts w:ascii="Times New Roman" w:hAnsi="Times New Roman"/>
          <w:sz w:val="28"/>
          <w:szCs w:val="28"/>
        </w:rPr>
        <w:t xml:space="preserve">Совета Сортавальского муниципального района от </w:t>
      </w:r>
      <w:r w:rsidR="00D64382">
        <w:rPr>
          <w:rFonts w:ascii="Times New Roman" w:hAnsi="Times New Roman"/>
          <w:sz w:val="28"/>
          <w:szCs w:val="28"/>
        </w:rPr>
        <w:t>10</w:t>
      </w:r>
      <w:r w:rsidRPr="009E632C">
        <w:rPr>
          <w:rFonts w:ascii="Times New Roman" w:hAnsi="Times New Roman"/>
          <w:sz w:val="28"/>
          <w:szCs w:val="28"/>
        </w:rPr>
        <w:t>.12.20</w:t>
      </w:r>
      <w:r w:rsidR="003F64B5">
        <w:rPr>
          <w:rFonts w:ascii="Times New Roman" w:hAnsi="Times New Roman"/>
          <w:sz w:val="28"/>
          <w:szCs w:val="28"/>
        </w:rPr>
        <w:t>2</w:t>
      </w:r>
      <w:r w:rsidR="00D64382">
        <w:rPr>
          <w:rFonts w:ascii="Times New Roman" w:hAnsi="Times New Roman"/>
          <w:sz w:val="28"/>
          <w:szCs w:val="28"/>
        </w:rPr>
        <w:t>1</w:t>
      </w:r>
      <w:r w:rsidRPr="009E632C">
        <w:rPr>
          <w:rFonts w:ascii="Times New Roman" w:hAnsi="Times New Roman"/>
          <w:sz w:val="28"/>
          <w:szCs w:val="28"/>
        </w:rPr>
        <w:t xml:space="preserve"> года</w:t>
      </w:r>
      <w:r w:rsidR="00E83A68">
        <w:rPr>
          <w:rFonts w:ascii="Times New Roman" w:hAnsi="Times New Roman"/>
          <w:sz w:val="28"/>
          <w:szCs w:val="28"/>
        </w:rPr>
        <w:t xml:space="preserve"> №</w:t>
      </w:r>
      <w:r w:rsidR="00D64382">
        <w:rPr>
          <w:rFonts w:ascii="Times New Roman" w:hAnsi="Times New Roman"/>
          <w:sz w:val="28"/>
          <w:szCs w:val="28"/>
        </w:rPr>
        <w:t>44</w:t>
      </w:r>
      <w:r w:rsidRPr="009E632C">
        <w:rPr>
          <w:rFonts w:ascii="Times New Roman" w:hAnsi="Times New Roman"/>
          <w:sz w:val="28"/>
          <w:szCs w:val="28"/>
        </w:rPr>
        <w:t xml:space="preserve"> «О бюджете Сортавальского муниципального района на 20</w:t>
      </w:r>
      <w:r w:rsidR="008804A5">
        <w:rPr>
          <w:rFonts w:ascii="Times New Roman" w:hAnsi="Times New Roman"/>
          <w:sz w:val="28"/>
          <w:szCs w:val="28"/>
        </w:rPr>
        <w:t>2</w:t>
      </w:r>
      <w:r w:rsidR="00D64382">
        <w:rPr>
          <w:rFonts w:ascii="Times New Roman" w:hAnsi="Times New Roman"/>
          <w:sz w:val="28"/>
          <w:szCs w:val="28"/>
        </w:rPr>
        <w:t>2</w:t>
      </w:r>
      <w:r w:rsidRPr="009E632C">
        <w:rPr>
          <w:rFonts w:ascii="Times New Roman" w:hAnsi="Times New Roman"/>
          <w:sz w:val="28"/>
          <w:szCs w:val="28"/>
        </w:rPr>
        <w:t xml:space="preserve"> год</w:t>
      </w:r>
      <w:r w:rsidR="00E83A68">
        <w:rPr>
          <w:rFonts w:ascii="Times New Roman" w:hAnsi="Times New Roman"/>
          <w:sz w:val="28"/>
          <w:szCs w:val="28"/>
        </w:rPr>
        <w:t xml:space="preserve"> и плановый период</w:t>
      </w:r>
      <w:r w:rsidR="00CB6009">
        <w:rPr>
          <w:rFonts w:ascii="Times New Roman" w:hAnsi="Times New Roman"/>
          <w:sz w:val="28"/>
          <w:szCs w:val="28"/>
        </w:rPr>
        <w:t xml:space="preserve"> 20</w:t>
      </w:r>
      <w:r w:rsidR="000F2BC5">
        <w:rPr>
          <w:rFonts w:ascii="Times New Roman" w:hAnsi="Times New Roman"/>
          <w:sz w:val="28"/>
          <w:szCs w:val="28"/>
        </w:rPr>
        <w:t>2</w:t>
      </w:r>
      <w:r w:rsidR="00D64382">
        <w:rPr>
          <w:rFonts w:ascii="Times New Roman" w:hAnsi="Times New Roman"/>
          <w:sz w:val="28"/>
          <w:szCs w:val="28"/>
        </w:rPr>
        <w:t>3</w:t>
      </w:r>
      <w:r w:rsidR="00CB6009">
        <w:rPr>
          <w:rFonts w:ascii="Times New Roman" w:hAnsi="Times New Roman"/>
          <w:sz w:val="28"/>
          <w:szCs w:val="28"/>
        </w:rPr>
        <w:t xml:space="preserve"> и 202</w:t>
      </w:r>
      <w:r w:rsidR="00D64382">
        <w:rPr>
          <w:rFonts w:ascii="Times New Roman" w:hAnsi="Times New Roman"/>
          <w:sz w:val="28"/>
          <w:szCs w:val="28"/>
        </w:rPr>
        <w:t>4</w:t>
      </w:r>
      <w:r w:rsidR="00CB6009">
        <w:rPr>
          <w:rFonts w:ascii="Times New Roman" w:hAnsi="Times New Roman"/>
          <w:sz w:val="28"/>
          <w:szCs w:val="28"/>
        </w:rPr>
        <w:t xml:space="preserve"> годов</w:t>
      </w:r>
      <w:r w:rsidR="00A8556E" w:rsidRPr="009E632C">
        <w:rPr>
          <w:rFonts w:ascii="Times New Roman" w:hAnsi="Times New Roman"/>
          <w:sz w:val="28"/>
          <w:szCs w:val="28"/>
        </w:rPr>
        <w:t>»</w:t>
      </w:r>
      <w:r w:rsidR="00FB5A6F">
        <w:rPr>
          <w:rFonts w:ascii="Times New Roman" w:hAnsi="Times New Roman"/>
          <w:sz w:val="28"/>
          <w:szCs w:val="28"/>
        </w:rPr>
        <w:t>.</w:t>
      </w:r>
    </w:p>
    <w:p w:rsidR="00AC77FA" w:rsidRDefault="00AC77FA" w:rsidP="0058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FA" w:rsidRDefault="00AC77FA" w:rsidP="0058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5B2" w:rsidRPr="00E07C36" w:rsidRDefault="00D264F1" w:rsidP="005869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</w:t>
      </w:r>
      <w:r w:rsidR="00E755B2" w:rsidRPr="00E07C36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755B2" w:rsidRPr="00E07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1A1" w:rsidRPr="00E07C36" w:rsidRDefault="00BF7B0D" w:rsidP="00586918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E07C36">
        <w:rPr>
          <w:rFonts w:ascii="Times New Roman" w:hAnsi="Times New Roman" w:cs="Times New Roman"/>
          <w:b/>
          <w:sz w:val="28"/>
          <w:szCs w:val="28"/>
        </w:rPr>
        <w:t>к</w:t>
      </w:r>
      <w:r w:rsidR="004821A1" w:rsidRPr="00E07C36">
        <w:rPr>
          <w:rFonts w:ascii="Times New Roman" w:hAnsi="Times New Roman" w:cs="Times New Roman"/>
          <w:b/>
          <w:sz w:val="28"/>
          <w:szCs w:val="28"/>
        </w:rPr>
        <w:t>онтрольно-счетного</w:t>
      </w:r>
      <w:r w:rsidRPr="00E07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1A1" w:rsidRPr="00E07C36">
        <w:rPr>
          <w:rFonts w:ascii="Times New Roman" w:hAnsi="Times New Roman" w:cs="Times New Roman"/>
          <w:b/>
          <w:sz w:val="28"/>
          <w:szCs w:val="28"/>
        </w:rPr>
        <w:t>комитета                             Н.</w:t>
      </w:r>
      <w:r w:rsidR="00D264F1">
        <w:rPr>
          <w:rFonts w:ascii="Times New Roman" w:hAnsi="Times New Roman" w:cs="Times New Roman"/>
          <w:b/>
          <w:sz w:val="28"/>
          <w:szCs w:val="28"/>
        </w:rPr>
        <w:t>В. Мангушева</w:t>
      </w:r>
    </w:p>
    <w:sectPr w:rsidR="004821A1" w:rsidRPr="00E07C36" w:rsidSect="004821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87" w:rsidRDefault="00646B87" w:rsidP="004821A1">
      <w:pPr>
        <w:spacing w:after="0" w:line="240" w:lineRule="auto"/>
      </w:pPr>
      <w:r>
        <w:separator/>
      </w:r>
    </w:p>
  </w:endnote>
  <w:endnote w:type="continuationSeparator" w:id="0">
    <w:p w:rsidR="00646B87" w:rsidRDefault="00646B87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87" w:rsidRDefault="00646B87" w:rsidP="004821A1">
      <w:pPr>
        <w:spacing w:after="0" w:line="240" w:lineRule="auto"/>
      </w:pPr>
      <w:r>
        <w:separator/>
      </w:r>
    </w:p>
  </w:footnote>
  <w:footnote w:type="continuationSeparator" w:id="0">
    <w:p w:rsidR="00646B87" w:rsidRDefault="00646B87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Content>
      <w:p w:rsidR="00AC77FA" w:rsidRDefault="00AC77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A9">
          <w:rPr>
            <w:noProof/>
          </w:rPr>
          <w:t>13</w:t>
        </w:r>
        <w:r>
          <w:fldChar w:fldCharType="end"/>
        </w:r>
      </w:p>
    </w:sdtContent>
  </w:sdt>
  <w:p w:rsidR="00AC77FA" w:rsidRDefault="00AC77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58B"/>
    <w:multiLevelType w:val="hybridMultilevel"/>
    <w:tmpl w:val="5ADAB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0EE"/>
    <w:multiLevelType w:val="hybridMultilevel"/>
    <w:tmpl w:val="30DE0850"/>
    <w:lvl w:ilvl="0" w:tplc="7572164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B60"/>
    <w:multiLevelType w:val="hybridMultilevel"/>
    <w:tmpl w:val="62CA7C22"/>
    <w:lvl w:ilvl="0" w:tplc="949CB8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00F"/>
    <w:multiLevelType w:val="hybridMultilevel"/>
    <w:tmpl w:val="FFE0EF92"/>
    <w:lvl w:ilvl="0" w:tplc="B96AA9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10B39"/>
    <w:multiLevelType w:val="hybridMultilevel"/>
    <w:tmpl w:val="D1F68734"/>
    <w:lvl w:ilvl="0" w:tplc="3A24C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C3358B"/>
    <w:multiLevelType w:val="hybridMultilevel"/>
    <w:tmpl w:val="BBCAB9AE"/>
    <w:lvl w:ilvl="0" w:tplc="CA2449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222AC"/>
    <w:multiLevelType w:val="hybridMultilevel"/>
    <w:tmpl w:val="12EA2196"/>
    <w:lvl w:ilvl="0" w:tplc="B2BC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D31150"/>
    <w:multiLevelType w:val="hybridMultilevel"/>
    <w:tmpl w:val="B274AD18"/>
    <w:lvl w:ilvl="0" w:tplc="4EA46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DB6DE0"/>
    <w:multiLevelType w:val="hybridMultilevel"/>
    <w:tmpl w:val="CEC4CF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FBA30E0"/>
    <w:multiLevelType w:val="hybridMultilevel"/>
    <w:tmpl w:val="E158711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281C"/>
    <w:multiLevelType w:val="hybridMultilevel"/>
    <w:tmpl w:val="C9ECE9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19655CF"/>
    <w:multiLevelType w:val="hybridMultilevel"/>
    <w:tmpl w:val="885253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BA70C88"/>
    <w:multiLevelType w:val="hybridMultilevel"/>
    <w:tmpl w:val="C26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14"/>
  </w:num>
  <w:num w:numId="11">
    <w:abstractNumId w:val="11"/>
  </w:num>
  <w:num w:numId="12">
    <w:abstractNumId w:val="7"/>
  </w:num>
  <w:num w:numId="13">
    <w:abstractNumId w:val="12"/>
  </w:num>
  <w:num w:numId="14">
    <w:abstractNumId w:val="1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0375"/>
    <w:rsid w:val="00002FAC"/>
    <w:rsid w:val="00003B32"/>
    <w:rsid w:val="0000456D"/>
    <w:rsid w:val="00007405"/>
    <w:rsid w:val="0000778A"/>
    <w:rsid w:val="00011495"/>
    <w:rsid w:val="00012979"/>
    <w:rsid w:val="00012D2E"/>
    <w:rsid w:val="000138CB"/>
    <w:rsid w:val="000157BA"/>
    <w:rsid w:val="00015B7A"/>
    <w:rsid w:val="00016117"/>
    <w:rsid w:val="00020150"/>
    <w:rsid w:val="00020857"/>
    <w:rsid w:val="000233CF"/>
    <w:rsid w:val="00034F02"/>
    <w:rsid w:val="000356CC"/>
    <w:rsid w:val="00035CCA"/>
    <w:rsid w:val="00044729"/>
    <w:rsid w:val="000460C3"/>
    <w:rsid w:val="0004674A"/>
    <w:rsid w:val="0005015A"/>
    <w:rsid w:val="00050412"/>
    <w:rsid w:val="00051754"/>
    <w:rsid w:val="00051FC1"/>
    <w:rsid w:val="0005795A"/>
    <w:rsid w:val="0006075A"/>
    <w:rsid w:val="000623D5"/>
    <w:rsid w:val="00062EBD"/>
    <w:rsid w:val="00066784"/>
    <w:rsid w:val="00066BF1"/>
    <w:rsid w:val="00070538"/>
    <w:rsid w:val="0007144F"/>
    <w:rsid w:val="0007154B"/>
    <w:rsid w:val="00072A62"/>
    <w:rsid w:val="00081910"/>
    <w:rsid w:val="000838BA"/>
    <w:rsid w:val="00090401"/>
    <w:rsid w:val="000905AC"/>
    <w:rsid w:val="00090892"/>
    <w:rsid w:val="00091E1A"/>
    <w:rsid w:val="00092CB6"/>
    <w:rsid w:val="00093651"/>
    <w:rsid w:val="00096625"/>
    <w:rsid w:val="000A05AB"/>
    <w:rsid w:val="000A1359"/>
    <w:rsid w:val="000A1B0A"/>
    <w:rsid w:val="000A1DA1"/>
    <w:rsid w:val="000A5C55"/>
    <w:rsid w:val="000A6973"/>
    <w:rsid w:val="000B7EB7"/>
    <w:rsid w:val="000C53E8"/>
    <w:rsid w:val="000C7808"/>
    <w:rsid w:val="000D0A84"/>
    <w:rsid w:val="000D2F99"/>
    <w:rsid w:val="000D5309"/>
    <w:rsid w:val="000E1103"/>
    <w:rsid w:val="000E3986"/>
    <w:rsid w:val="000E407C"/>
    <w:rsid w:val="000E662C"/>
    <w:rsid w:val="000F08DB"/>
    <w:rsid w:val="000F221C"/>
    <w:rsid w:val="000F2ACA"/>
    <w:rsid w:val="000F2BC5"/>
    <w:rsid w:val="000F4FFB"/>
    <w:rsid w:val="000F573F"/>
    <w:rsid w:val="001056A0"/>
    <w:rsid w:val="00107327"/>
    <w:rsid w:val="0011108E"/>
    <w:rsid w:val="00111886"/>
    <w:rsid w:val="00111B94"/>
    <w:rsid w:val="001121DB"/>
    <w:rsid w:val="001122C6"/>
    <w:rsid w:val="001125CD"/>
    <w:rsid w:val="00114129"/>
    <w:rsid w:val="00114876"/>
    <w:rsid w:val="00115689"/>
    <w:rsid w:val="001173C7"/>
    <w:rsid w:val="00117FC2"/>
    <w:rsid w:val="0012786E"/>
    <w:rsid w:val="0013135E"/>
    <w:rsid w:val="00131A69"/>
    <w:rsid w:val="00141345"/>
    <w:rsid w:val="00142D67"/>
    <w:rsid w:val="0014546C"/>
    <w:rsid w:val="00146F72"/>
    <w:rsid w:val="00150AC1"/>
    <w:rsid w:val="00151EB1"/>
    <w:rsid w:val="00152CB8"/>
    <w:rsid w:val="0015458E"/>
    <w:rsid w:val="00156A76"/>
    <w:rsid w:val="00161DC1"/>
    <w:rsid w:val="00163EDE"/>
    <w:rsid w:val="0016527C"/>
    <w:rsid w:val="00165466"/>
    <w:rsid w:val="001659A2"/>
    <w:rsid w:val="00166875"/>
    <w:rsid w:val="0016754A"/>
    <w:rsid w:val="00174DAF"/>
    <w:rsid w:val="00176799"/>
    <w:rsid w:val="00180680"/>
    <w:rsid w:val="00180B88"/>
    <w:rsid w:val="00181730"/>
    <w:rsid w:val="00183CAA"/>
    <w:rsid w:val="001905B3"/>
    <w:rsid w:val="00191E02"/>
    <w:rsid w:val="00193378"/>
    <w:rsid w:val="001A2260"/>
    <w:rsid w:val="001A532C"/>
    <w:rsid w:val="001A57A9"/>
    <w:rsid w:val="001B07B2"/>
    <w:rsid w:val="001B0D62"/>
    <w:rsid w:val="001B28D9"/>
    <w:rsid w:val="001B4623"/>
    <w:rsid w:val="001B61A2"/>
    <w:rsid w:val="001B7FA0"/>
    <w:rsid w:val="001C09A1"/>
    <w:rsid w:val="001C34F9"/>
    <w:rsid w:val="001C72DE"/>
    <w:rsid w:val="001D7F14"/>
    <w:rsid w:val="001D7F55"/>
    <w:rsid w:val="001E277C"/>
    <w:rsid w:val="001E3602"/>
    <w:rsid w:val="001E56DC"/>
    <w:rsid w:val="001E5DB1"/>
    <w:rsid w:val="001E7C79"/>
    <w:rsid w:val="001F0931"/>
    <w:rsid w:val="001F242A"/>
    <w:rsid w:val="001F28C3"/>
    <w:rsid w:val="001F2A3F"/>
    <w:rsid w:val="001F38AA"/>
    <w:rsid w:val="001F4875"/>
    <w:rsid w:val="001F58CF"/>
    <w:rsid w:val="002003A6"/>
    <w:rsid w:val="00204506"/>
    <w:rsid w:val="00206ED5"/>
    <w:rsid w:val="00211A2F"/>
    <w:rsid w:val="00211C74"/>
    <w:rsid w:val="00216132"/>
    <w:rsid w:val="002167B8"/>
    <w:rsid w:val="00222822"/>
    <w:rsid w:val="002228AB"/>
    <w:rsid w:val="00225753"/>
    <w:rsid w:val="0023279F"/>
    <w:rsid w:val="00235E9B"/>
    <w:rsid w:val="00240220"/>
    <w:rsid w:val="00241686"/>
    <w:rsid w:val="002430BE"/>
    <w:rsid w:val="002447E1"/>
    <w:rsid w:val="00247BDC"/>
    <w:rsid w:val="002506B9"/>
    <w:rsid w:val="00250957"/>
    <w:rsid w:val="00251ED1"/>
    <w:rsid w:val="00255546"/>
    <w:rsid w:val="002575A9"/>
    <w:rsid w:val="00260687"/>
    <w:rsid w:val="00264FD9"/>
    <w:rsid w:val="00267052"/>
    <w:rsid w:val="002714FC"/>
    <w:rsid w:val="002738DE"/>
    <w:rsid w:val="00273F45"/>
    <w:rsid w:val="002778F2"/>
    <w:rsid w:val="0028012E"/>
    <w:rsid w:val="002804D8"/>
    <w:rsid w:val="00280F48"/>
    <w:rsid w:val="00282B0A"/>
    <w:rsid w:val="00283A6B"/>
    <w:rsid w:val="00285C31"/>
    <w:rsid w:val="00286007"/>
    <w:rsid w:val="002917DB"/>
    <w:rsid w:val="00292449"/>
    <w:rsid w:val="00293084"/>
    <w:rsid w:val="00293637"/>
    <w:rsid w:val="002A3DF0"/>
    <w:rsid w:val="002A61C7"/>
    <w:rsid w:val="002A7B61"/>
    <w:rsid w:val="002A7B99"/>
    <w:rsid w:val="002B3F27"/>
    <w:rsid w:val="002B7351"/>
    <w:rsid w:val="002C1461"/>
    <w:rsid w:val="002C6193"/>
    <w:rsid w:val="002D041A"/>
    <w:rsid w:val="002D1D0D"/>
    <w:rsid w:val="002D4304"/>
    <w:rsid w:val="002D4A42"/>
    <w:rsid w:val="002D68D7"/>
    <w:rsid w:val="002E09C6"/>
    <w:rsid w:val="002E3D72"/>
    <w:rsid w:val="002E608D"/>
    <w:rsid w:val="002E6712"/>
    <w:rsid w:val="002F1356"/>
    <w:rsid w:val="002F301C"/>
    <w:rsid w:val="002F476D"/>
    <w:rsid w:val="002F67F8"/>
    <w:rsid w:val="00300015"/>
    <w:rsid w:val="00301937"/>
    <w:rsid w:val="00301D22"/>
    <w:rsid w:val="00301F3C"/>
    <w:rsid w:val="00303028"/>
    <w:rsid w:val="00305CB2"/>
    <w:rsid w:val="00307B5F"/>
    <w:rsid w:val="00307CEC"/>
    <w:rsid w:val="00313F49"/>
    <w:rsid w:val="003154CC"/>
    <w:rsid w:val="0031661B"/>
    <w:rsid w:val="00316860"/>
    <w:rsid w:val="00316CFA"/>
    <w:rsid w:val="0032282F"/>
    <w:rsid w:val="00327025"/>
    <w:rsid w:val="00330F36"/>
    <w:rsid w:val="00331C08"/>
    <w:rsid w:val="00333DB0"/>
    <w:rsid w:val="003346A9"/>
    <w:rsid w:val="00335934"/>
    <w:rsid w:val="003374B4"/>
    <w:rsid w:val="003416A6"/>
    <w:rsid w:val="00341DCC"/>
    <w:rsid w:val="0034214C"/>
    <w:rsid w:val="003431BD"/>
    <w:rsid w:val="00343ABE"/>
    <w:rsid w:val="0035685D"/>
    <w:rsid w:val="003606E6"/>
    <w:rsid w:val="00362F2D"/>
    <w:rsid w:val="00365645"/>
    <w:rsid w:val="00374882"/>
    <w:rsid w:val="0038158F"/>
    <w:rsid w:val="00382838"/>
    <w:rsid w:val="00390AD2"/>
    <w:rsid w:val="00392616"/>
    <w:rsid w:val="00397B5A"/>
    <w:rsid w:val="003A1E87"/>
    <w:rsid w:val="003A453C"/>
    <w:rsid w:val="003A5012"/>
    <w:rsid w:val="003A54AF"/>
    <w:rsid w:val="003A5CE6"/>
    <w:rsid w:val="003A6C80"/>
    <w:rsid w:val="003B0259"/>
    <w:rsid w:val="003B4FB0"/>
    <w:rsid w:val="003B5189"/>
    <w:rsid w:val="003B7D29"/>
    <w:rsid w:val="003C3FDC"/>
    <w:rsid w:val="003C6303"/>
    <w:rsid w:val="003D025A"/>
    <w:rsid w:val="003D6A46"/>
    <w:rsid w:val="003E09B6"/>
    <w:rsid w:val="003E3B9B"/>
    <w:rsid w:val="003E44C4"/>
    <w:rsid w:val="003E61CB"/>
    <w:rsid w:val="003E7F44"/>
    <w:rsid w:val="003F010C"/>
    <w:rsid w:val="003F11EC"/>
    <w:rsid w:val="003F4388"/>
    <w:rsid w:val="003F637B"/>
    <w:rsid w:val="003F64B5"/>
    <w:rsid w:val="003F6CBA"/>
    <w:rsid w:val="00400083"/>
    <w:rsid w:val="0040367C"/>
    <w:rsid w:val="004037F3"/>
    <w:rsid w:val="00403CF0"/>
    <w:rsid w:val="0040482D"/>
    <w:rsid w:val="00412E7B"/>
    <w:rsid w:val="004134F9"/>
    <w:rsid w:val="0042367B"/>
    <w:rsid w:val="00424575"/>
    <w:rsid w:val="00424F46"/>
    <w:rsid w:val="00426710"/>
    <w:rsid w:val="00432069"/>
    <w:rsid w:val="0044223B"/>
    <w:rsid w:val="00443276"/>
    <w:rsid w:val="00446FE5"/>
    <w:rsid w:val="00447DD6"/>
    <w:rsid w:val="0045599E"/>
    <w:rsid w:val="00455B54"/>
    <w:rsid w:val="0045745C"/>
    <w:rsid w:val="00461EA4"/>
    <w:rsid w:val="00462122"/>
    <w:rsid w:val="004623E4"/>
    <w:rsid w:val="00463559"/>
    <w:rsid w:val="00463A9D"/>
    <w:rsid w:val="00464E2A"/>
    <w:rsid w:val="004659B2"/>
    <w:rsid w:val="004772C1"/>
    <w:rsid w:val="004821A1"/>
    <w:rsid w:val="00483102"/>
    <w:rsid w:val="00495C2A"/>
    <w:rsid w:val="0049721C"/>
    <w:rsid w:val="00497DA8"/>
    <w:rsid w:val="004A11A0"/>
    <w:rsid w:val="004A4201"/>
    <w:rsid w:val="004A6C84"/>
    <w:rsid w:val="004B0331"/>
    <w:rsid w:val="004B229C"/>
    <w:rsid w:val="004B2718"/>
    <w:rsid w:val="004B3084"/>
    <w:rsid w:val="004B50EF"/>
    <w:rsid w:val="004B5813"/>
    <w:rsid w:val="004B7DF5"/>
    <w:rsid w:val="004C211D"/>
    <w:rsid w:val="004C6A81"/>
    <w:rsid w:val="004C7789"/>
    <w:rsid w:val="004C7F2E"/>
    <w:rsid w:val="004D302E"/>
    <w:rsid w:val="004D442E"/>
    <w:rsid w:val="004D5EF8"/>
    <w:rsid w:val="004E1607"/>
    <w:rsid w:val="004E2200"/>
    <w:rsid w:val="004E5FE1"/>
    <w:rsid w:val="004E72A7"/>
    <w:rsid w:val="004E7631"/>
    <w:rsid w:val="004F3C93"/>
    <w:rsid w:val="004F431F"/>
    <w:rsid w:val="004F64D1"/>
    <w:rsid w:val="00503CDC"/>
    <w:rsid w:val="00506DBA"/>
    <w:rsid w:val="00507D24"/>
    <w:rsid w:val="00510DC5"/>
    <w:rsid w:val="00512A27"/>
    <w:rsid w:val="00512CDF"/>
    <w:rsid w:val="00516E45"/>
    <w:rsid w:val="00517086"/>
    <w:rsid w:val="005220DB"/>
    <w:rsid w:val="005246A1"/>
    <w:rsid w:val="0052539A"/>
    <w:rsid w:val="00525B48"/>
    <w:rsid w:val="005427F3"/>
    <w:rsid w:val="005449FF"/>
    <w:rsid w:val="0054679D"/>
    <w:rsid w:val="00553314"/>
    <w:rsid w:val="005536A5"/>
    <w:rsid w:val="00555DD4"/>
    <w:rsid w:val="00555FE7"/>
    <w:rsid w:val="0055733F"/>
    <w:rsid w:val="00557616"/>
    <w:rsid w:val="0056218D"/>
    <w:rsid w:val="00562EBC"/>
    <w:rsid w:val="00562FB7"/>
    <w:rsid w:val="00565B33"/>
    <w:rsid w:val="00567EF8"/>
    <w:rsid w:val="00573BF3"/>
    <w:rsid w:val="00574821"/>
    <w:rsid w:val="0058014A"/>
    <w:rsid w:val="00581644"/>
    <w:rsid w:val="00581FA9"/>
    <w:rsid w:val="00584AC7"/>
    <w:rsid w:val="00586918"/>
    <w:rsid w:val="0058764F"/>
    <w:rsid w:val="005904B5"/>
    <w:rsid w:val="00591DBC"/>
    <w:rsid w:val="0059238F"/>
    <w:rsid w:val="005A04FF"/>
    <w:rsid w:val="005A5452"/>
    <w:rsid w:val="005B2A05"/>
    <w:rsid w:val="005B3250"/>
    <w:rsid w:val="005B3DFB"/>
    <w:rsid w:val="005C4DE8"/>
    <w:rsid w:val="005C4ED0"/>
    <w:rsid w:val="005C5C1B"/>
    <w:rsid w:val="005D1200"/>
    <w:rsid w:val="005D165D"/>
    <w:rsid w:val="005E1DD3"/>
    <w:rsid w:val="005F1544"/>
    <w:rsid w:val="005F1A23"/>
    <w:rsid w:val="005F1B1C"/>
    <w:rsid w:val="005F4C4F"/>
    <w:rsid w:val="005F52F1"/>
    <w:rsid w:val="005F578B"/>
    <w:rsid w:val="005F7A5F"/>
    <w:rsid w:val="005F7B0C"/>
    <w:rsid w:val="00600B25"/>
    <w:rsid w:val="00601145"/>
    <w:rsid w:val="006057FF"/>
    <w:rsid w:val="00606BDA"/>
    <w:rsid w:val="00611956"/>
    <w:rsid w:val="00614248"/>
    <w:rsid w:val="0061490B"/>
    <w:rsid w:val="006204DA"/>
    <w:rsid w:val="00621648"/>
    <w:rsid w:val="006241A2"/>
    <w:rsid w:val="006244DE"/>
    <w:rsid w:val="006278E9"/>
    <w:rsid w:val="00630709"/>
    <w:rsid w:val="00632C50"/>
    <w:rsid w:val="00635230"/>
    <w:rsid w:val="00635CAD"/>
    <w:rsid w:val="00637449"/>
    <w:rsid w:val="00637F83"/>
    <w:rsid w:val="0064234B"/>
    <w:rsid w:val="006426DF"/>
    <w:rsid w:val="00644BA3"/>
    <w:rsid w:val="00645DF6"/>
    <w:rsid w:val="00646B87"/>
    <w:rsid w:val="00646E0F"/>
    <w:rsid w:val="00652482"/>
    <w:rsid w:val="006556C4"/>
    <w:rsid w:val="00657545"/>
    <w:rsid w:val="00657D28"/>
    <w:rsid w:val="00660902"/>
    <w:rsid w:val="0066141E"/>
    <w:rsid w:val="0066189B"/>
    <w:rsid w:val="00665801"/>
    <w:rsid w:val="00665B24"/>
    <w:rsid w:val="00666298"/>
    <w:rsid w:val="00667DA6"/>
    <w:rsid w:val="00674083"/>
    <w:rsid w:val="006872B1"/>
    <w:rsid w:val="00691CD4"/>
    <w:rsid w:val="00697B00"/>
    <w:rsid w:val="006A1EE8"/>
    <w:rsid w:val="006A2B13"/>
    <w:rsid w:val="006A70A5"/>
    <w:rsid w:val="006A789A"/>
    <w:rsid w:val="006B47E5"/>
    <w:rsid w:val="006B6AB9"/>
    <w:rsid w:val="006C4469"/>
    <w:rsid w:val="006C4A96"/>
    <w:rsid w:val="006C5763"/>
    <w:rsid w:val="006D2118"/>
    <w:rsid w:val="006D386C"/>
    <w:rsid w:val="006D39DB"/>
    <w:rsid w:val="006D4A3B"/>
    <w:rsid w:val="006D59B9"/>
    <w:rsid w:val="006D626B"/>
    <w:rsid w:val="006D6A02"/>
    <w:rsid w:val="006E0AE7"/>
    <w:rsid w:val="006E5FBD"/>
    <w:rsid w:val="006F1C78"/>
    <w:rsid w:val="006F35D2"/>
    <w:rsid w:val="006F448D"/>
    <w:rsid w:val="006F4C38"/>
    <w:rsid w:val="007016A4"/>
    <w:rsid w:val="00704168"/>
    <w:rsid w:val="00706348"/>
    <w:rsid w:val="00707A60"/>
    <w:rsid w:val="007114AE"/>
    <w:rsid w:val="007121F8"/>
    <w:rsid w:val="00712FBB"/>
    <w:rsid w:val="007205CC"/>
    <w:rsid w:val="00727BC3"/>
    <w:rsid w:val="00741B2A"/>
    <w:rsid w:val="007458FE"/>
    <w:rsid w:val="00745C16"/>
    <w:rsid w:val="00746979"/>
    <w:rsid w:val="00752D62"/>
    <w:rsid w:val="007537B0"/>
    <w:rsid w:val="00754987"/>
    <w:rsid w:val="0075603C"/>
    <w:rsid w:val="00770E02"/>
    <w:rsid w:val="007711E4"/>
    <w:rsid w:val="00777584"/>
    <w:rsid w:val="00777F4B"/>
    <w:rsid w:val="007814F3"/>
    <w:rsid w:val="00783DEC"/>
    <w:rsid w:val="00783F39"/>
    <w:rsid w:val="00785F5B"/>
    <w:rsid w:val="00792CC8"/>
    <w:rsid w:val="007A1776"/>
    <w:rsid w:val="007A493C"/>
    <w:rsid w:val="007A4987"/>
    <w:rsid w:val="007B1F09"/>
    <w:rsid w:val="007B321F"/>
    <w:rsid w:val="007B61F5"/>
    <w:rsid w:val="007C1195"/>
    <w:rsid w:val="007C1BD0"/>
    <w:rsid w:val="007C1CA8"/>
    <w:rsid w:val="007C4B78"/>
    <w:rsid w:val="007C5FE3"/>
    <w:rsid w:val="007C76E2"/>
    <w:rsid w:val="007D0924"/>
    <w:rsid w:val="007D18A5"/>
    <w:rsid w:val="007D35DE"/>
    <w:rsid w:val="007D4ECA"/>
    <w:rsid w:val="007D5F92"/>
    <w:rsid w:val="007F46D9"/>
    <w:rsid w:val="00801F3F"/>
    <w:rsid w:val="008024B3"/>
    <w:rsid w:val="008024BC"/>
    <w:rsid w:val="008029E5"/>
    <w:rsid w:val="0080391A"/>
    <w:rsid w:val="00813843"/>
    <w:rsid w:val="00816EB5"/>
    <w:rsid w:val="00824C34"/>
    <w:rsid w:val="008316F8"/>
    <w:rsid w:val="008346C4"/>
    <w:rsid w:val="0083712F"/>
    <w:rsid w:val="00841F49"/>
    <w:rsid w:val="008425BF"/>
    <w:rsid w:val="0084316B"/>
    <w:rsid w:val="00844BE8"/>
    <w:rsid w:val="00847E88"/>
    <w:rsid w:val="008505C1"/>
    <w:rsid w:val="00853FA4"/>
    <w:rsid w:val="008548CA"/>
    <w:rsid w:val="008563FD"/>
    <w:rsid w:val="00857C0F"/>
    <w:rsid w:val="00861BCA"/>
    <w:rsid w:val="008670CB"/>
    <w:rsid w:val="00874677"/>
    <w:rsid w:val="008804A5"/>
    <w:rsid w:val="00880576"/>
    <w:rsid w:val="00880CC8"/>
    <w:rsid w:val="00892808"/>
    <w:rsid w:val="00892942"/>
    <w:rsid w:val="0089783B"/>
    <w:rsid w:val="008A19BA"/>
    <w:rsid w:val="008A5C08"/>
    <w:rsid w:val="008A7516"/>
    <w:rsid w:val="008B5582"/>
    <w:rsid w:val="008B6D59"/>
    <w:rsid w:val="008C24E5"/>
    <w:rsid w:val="008C526F"/>
    <w:rsid w:val="008D3695"/>
    <w:rsid w:val="008D4AA2"/>
    <w:rsid w:val="008D591F"/>
    <w:rsid w:val="008D611F"/>
    <w:rsid w:val="008E09B3"/>
    <w:rsid w:val="008E189A"/>
    <w:rsid w:val="008E1F3A"/>
    <w:rsid w:val="008E2F04"/>
    <w:rsid w:val="008E4B08"/>
    <w:rsid w:val="008E5970"/>
    <w:rsid w:val="008F09D5"/>
    <w:rsid w:val="008F41F3"/>
    <w:rsid w:val="00902472"/>
    <w:rsid w:val="00902CA8"/>
    <w:rsid w:val="00904130"/>
    <w:rsid w:val="00904514"/>
    <w:rsid w:val="00905909"/>
    <w:rsid w:val="00905B18"/>
    <w:rsid w:val="00910A46"/>
    <w:rsid w:val="00914482"/>
    <w:rsid w:val="0091705A"/>
    <w:rsid w:val="00917079"/>
    <w:rsid w:val="00917338"/>
    <w:rsid w:val="00917EE4"/>
    <w:rsid w:val="00920636"/>
    <w:rsid w:val="009264A3"/>
    <w:rsid w:val="00931609"/>
    <w:rsid w:val="00933E87"/>
    <w:rsid w:val="009343A0"/>
    <w:rsid w:val="00934FCD"/>
    <w:rsid w:val="00937B97"/>
    <w:rsid w:val="0094008D"/>
    <w:rsid w:val="009457EE"/>
    <w:rsid w:val="0095256B"/>
    <w:rsid w:val="0095569E"/>
    <w:rsid w:val="00955A59"/>
    <w:rsid w:val="00961A26"/>
    <w:rsid w:val="00961DFD"/>
    <w:rsid w:val="009622DA"/>
    <w:rsid w:val="00967F79"/>
    <w:rsid w:val="00971741"/>
    <w:rsid w:val="009772E9"/>
    <w:rsid w:val="00977B7E"/>
    <w:rsid w:val="00984472"/>
    <w:rsid w:val="00985150"/>
    <w:rsid w:val="009906CC"/>
    <w:rsid w:val="009924DF"/>
    <w:rsid w:val="00992514"/>
    <w:rsid w:val="00993E30"/>
    <w:rsid w:val="00994A4F"/>
    <w:rsid w:val="009A0074"/>
    <w:rsid w:val="009A30E5"/>
    <w:rsid w:val="009A6CE6"/>
    <w:rsid w:val="009A7A70"/>
    <w:rsid w:val="009B08CD"/>
    <w:rsid w:val="009B2047"/>
    <w:rsid w:val="009B6A6D"/>
    <w:rsid w:val="009D05A0"/>
    <w:rsid w:val="009D122E"/>
    <w:rsid w:val="009D1335"/>
    <w:rsid w:val="009E1921"/>
    <w:rsid w:val="009E5266"/>
    <w:rsid w:val="009E632C"/>
    <w:rsid w:val="009E6CE4"/>
    <w:rsid w:val="009F091A"/>
    <w:rsid w:val="009F4DE3"/>
    <w:rsid w:val="009F59C3"/>
    <w:rsid w:val="009F6DC7"/>
    <w:rsid w:val="009F6DD2"/>
    <w:rsid w:val="009F73EB"/>
    <w:rsid w:val="00A057E3"/>
    <w:rsid w:val="00A1181F"/>
    <w:rsid w:val="00A13013"/>
    <w:rsid w:val="00A146BA"/>
    <w:rsid w:val="00A14928"/>
    <w:rsid w:val="00A174B2"/>
    <w:rsid w:val="00A21B56"/>
    <w:rsid w:val="00A23CD2"/>
    <w:rsid w:val="00A265DD"/>
    <w:rsid w:val="00A30EF8"/>
    <w:rsid w:val="00A31EC8"/>
    <w:rsid w:val="00A37F64"/>
    <w:rsid w:val="00A4320F"/>
    <w:rsid w:val="00A46174"/>
    <w:rsid w:val="00A53A22"/>
    <w:rsid w:val="00A545F5"/>
    <w:rsid w:val="00A54982"/>
    <w:rsid w:val="00A55C19"/>
    <w:rsid w:val="00A61C17"/>
    <w:rsid w:val="00A6628D"/>
    <w:rsid w:val="00A718B0"/>
    <w:rsid w:val="00A73F72"/>
    <w:rsid w:val="00A778ED"/>
    <w:rsid w:val="00A77CA4"/>
    <w:rsid w:val="00A8556E"/>
    <w:rsid w:val="00A85BC0"/>
    <w:rsid w:val="00A865ED"/>
    <w:rsid w:val="00A93EBD"/>
    <w:rsid w:val="00A979FB"/>
    <w:rsid w:val="00AA30D8"/>
    <w:rsid w:val="00AA3FB6"/>
    <w:rsid w:val="00AA4166"/>
    <w:rsid w:val="00AA5A8B"/>
    <w:rsid w:val="00AB6C2E"/>
    <w:rsid w:val="00AB7937"/>
    <w:rsid w:val="00AC1169"/>
    <w:rsid w:val="00AC2DA6"/>
    <w:rsid w:val="00AC42A2"/>
    <w:rsid w:val="00AC42CD"/>
    <w:rsid w:val="00AC4930"/>
    <w:rsid w:val="00AC77FA"/>
    <w:rsid w:val="00AD09C3"/>
    <w:rsid w:val="00AD1463"/>
    <w:rsid w:val="00AD16BF"/>
    <w:rsid w:val="00AE26E6"/>
    <w:rsid w:val="00AE5BCA"/>
    <w:rsid w:val="00AE63D2"/>
    <w:rsid w:val="00AF28A7"/>
    <w:rsid w:val="00AF40F8"/>
    <w:rsid w:val="00AF541D"/>
    <w:rsid w:val="00AF60F1"/>
    <w:rsid w:val="00B01296"/>
    <w:rsid w:val="00B01344"/>
    <w:rsid w:val="00B03B65"/>
    <w:rsid w:val="00B15C34"/>
    <w:rsid w:val="00B21A6D"/>
    <w:rsid w:val="00B24F36"/>
    <w:rsid w:val="00B33CF8"/>
    <w:rsid w:val="00B37B34"/>
    <w:rsid w:val="00B405D5"/>
    <w:rsid w:val="00B424F5"/>
    <w:rsid w:val="00B42C18"/>
    <w:rsid w:val="00B433D1"/>
    <w:rsid w:val="00B45156"/>
    <w:rsid w:val="00B455E7"/>
    <w:rsid w:val="00B45B44"/>
    <w:rsid w:val="00B46202"/>
    <w:rsid w:val="00B53A62"/>
    <w:rsid w:val="00B57C6C"/>
    <w:rsid w:val="00B66838"/>
    <w:rsid w:val="00B66863"/>
    <w:rsid w:val="00B6752D"/>
    <w:rsid w:val="00B67B18"/>
    <w:rsid w:val="00B72A30"/>
    <w:rsid w:val="00B74B86"/>
    <w:rsid w:val="00B77B81"/>
    <w:rsid w:val="00B81A9B"/>
    <w:rsid w:val="00B83151"/>
    <w:rsid w:val="00B83B9C"/>
    <w:rsid w:val="00B85E53"/>
    <w:rsid w:val="00B8657F"/>
    <w:rsid w:val="00B92F5D"/>
    <w:rsid w:val="00B93D78"/>
    <w:rsid w:val="00B95D0A"/>
    <w:rsid w:val="00B95E3A"/>
    <w:rsid w:val="00B978FD"/>
    <w:rsid w:val="00BA03B9"/>
    <w:rsid w:val="00BA171D"/>
    <w:rsid w:val="00BA6EA2"/>
    <w:rsid w:val="00BA7F3D"/>
    <w:rsid w:val="00BB316B"/>
    <w:rsid w:val="00BB51FF"/>
    <w:rsid w:val="00BB58E6"/>
    <w:rsid w:val="00BB7ED7"/>
    <w:rsid w:val="00BC5948"/>
    <w:rsid w:val="00BC5B6B"/>
    <w:rsid w:val="00BC6AA6"/>
    <w:rsid w:val="00BC7306"/>
    <w:rsid w:val="00BD1C76"/>
    <w:rsid w:val="00BD5582"/>
    <w:rsid w:val="00BD5862"/>
    <w:rsid w:val="00BE2878"/>
    <w:rsid w:val="00BE4E69"/>
    <w:rsid w:val="00BF08F9"/>
    <w:rsid w:val="00BF0B72"/>
    <w:rsid w:val="00BF1BB5"/>
    <w:rsid w:val="00BF422C"/>
    <w:rsid w:val="00BF5492"/>
    <w:rsid w:val="00BF7B0D"/>
    <w:rsid w:val="00C02018"/>
    <w:rsid w:val="00C13524"/>
    <w:rsid w:val="00C13B8C"/>
    <w:rsid w:val="00C15F70"/>
    <w:rsid w:val="00C16CF9"/>
    <w:rsid w:val="00C179E6"/>
    <w:rsid w:val="00C2140F"/>
    <w:rsid w:val="00C21753"/>
    <w:rsid w:val="00C22DB6"/>
    <w:rsid w:val="00C31A0B"/>
    <w:rsid w:val="00C34FEF"/>
    <w:rsid w:val="00C459AE"/>
    <w:rsid w:val="00C52F87"/>
    <w:rsid w:val="00C53F4F"/>
    <w:rsid w:val="00C56C00"/>
    <w:rsid w:val="00C56EA6"/>
    <w:rsid w:val="00C60749"/>
    <w:rsid w:val="00C6336F"/>
    <w:rsid w:val="00C70E5B"/>
    <w:rsid w:val="00C713D9"/>
    <w:rsid w:val="00C720EB"/>
    <w:rsid w:val="00C72CD8"/>
    <w:rsid w:val="00C802B6"/>
    <w:rsid w:val="00C80C7A"/>
    <w:rsid w:val="00C86075"/>
    <w:rsid w:val="00C8705A"/>
    <w:rsid w:val="00C874E3"/>
    <w:rsid w:val="00C937E3"/>
    <w:rsid w:val="00C940E1"/>
    <w:rsid w:val="00C9520C"/>
    <w:rsid w:val="00CB0225"/>
    <w:rsid w:val="00CB0EB8"/>
    <w:rsid w:val="00CB3867"/>
    <w:rsid w:val="00CB4964"/>
    <w:rsid w:val="00CB6009"/>
    <w:rsid w:val="00CB684E"/>
    <w:rsid w:val="00CC0D3B"/>
    <w:rsid w:val="00CC21BE"/>
    <w:rsid w:val="00CC3DA1"/>
    <w:rsid w:val="00CC56F6"/>
    <w:rsid w:val="00CC6824"/>
    <w:rsid w:val="00CD1A3B"/>
    <w:rsid w:val="00CD62E3"/>
    <w:rsid w:val="00CE1018"/>
    <w:rsid w:val="00CE1430"/>
    <w:rsid w:val="00CE1DFF"/>
    <w:rsid w:val="00CE3D6E"/>
    <w:rsid w:val="00CE63E0"/>
    <w:rsid w:val="00CF02E0"/>
    <w:rsid w:val="00CF2801"/>
    <w:rsid w:val="00CF3AB6"/>
    <w:rsid w:val="00CF4CF4"/>
    <w:rsid w:val="00CF5292"/>
    <w:rsid w:val="00CF5BD0"/>
    <w:rsid w:val="00CF5F1D"/>
    <w:rsid w:val="00CF731E"/>
    <w:rsid w:val="00CF7D5A"/>
    <w:rsid w:val="00D0123A"/>
    <w:rsid w:val="00D0203E"/>
    <w:rsid w:val="00D02AA3"/>
    <w:rsid w:val="00D04A4B"/>
    <w:rsid w:val="00D116A6"/>
    <w:rsid w:val="00D15A9E"/>
    <w:rsid w:val="00D160A1"/>
    <w:rsid w:val="00D2203C"/>
    <w:rsid w:val="00D26468"/>
    <w:rsid w:val="00D264F1"/>
    <w:rsid w:val="00D27BC6"/>
    <w:rsid w:val="00D3051F"/>
    <w:rsid w:val="00D30611"/>
    <w:rsid w:val="00D31118"/>
    <w:rsid w:val="00D332CD"/>
    <w:rsid w:val="00D33980"/>
    <w:rsid w:val="00D37248"/>
    <w:rsid w:val="00D401B3"/>
    <w:rsid w:val="00D430F6"/>
    <w:rsid w:val="00D45534"/>
    <w:rsid w:val="00D471B8"/>
    <w:rsid w:val="00D51B07"/>
    <w:rsid w:val="00D52E92"/>
    <w:rsid w:val="00D53295"/>
    <w:rsid w:val="00D54173"/>
    <w:rsid w:val="00D54D71"/>
    <w:rsid w:val="00D60EAD"/>
    <w:rsid w:val="00D63367"/>
    <w:rsid w:val="00D64382"/>
    <w:rsid w:val="00D64A0F"/>
    <w:rsid w:val="00D6794C"/>
    <w:rsid w:val="00D735B6"/>
    <w:rsid w:val="00D7393B"/>
    <w:rsid w:val="00D85BA4"/>
    <w:rsid w:val="00D8758B"/>
    <w:rsid w:val="00D91C8C"/>
    <w:rsid w:val="00D91F75"/>
    <w:rsid w:val="00D942EE"/>
    <w:rsid w:val="00D945A7"/>
    <w:rsid w:val="00D9721D"/>
    <w:rsid w:val="00DA0F99"/>
    <w:rsid w:val="00DA1077"/>
    <w:rsid w:val="00DA328B"/>
    <w:rsid w:val="00DA3C45"/>
    <w:rsid w:val="00DA3CA2"/>
    <w:rsid w:val="00DA5F25"/>
    <w:rsid w:val="00DB2D29"/>
    <w:rsid w:val="00DC06B7"/>
    <w:rsid w:val="00DC2209"/>
    <w:rsid w:val="00DC3809"/>
    <w:rsid w:val="00DC5203"/>
    <w:rsid w:val="00DC7646"/>
    <w:rsid w:val="00DD3B35"/>
    <w:rsid w:val="00DD5ACA"/>
    <w:rsid w:val="00DE4C11"/>
    <w:rsid w:val="00DF2020"/>
    <w:rsid w:val="00E033A4"/>
    <w:rsid w:val="00E06455"/>
    <w:rsid w:val="00E065C1"/>
    <w:rsid w:val="00E07C36"/>
    <w:rsid w:val="00E10843"/>
    <w:rsid w:val="00E233B0"/>
    <w:rsid w:val="00E23C19"/>
    <w:rsid w:val="00E24C76"/>
    <w:rsid w:val="00E257DB"/>
    <w:rsid w:val="00E30C19"/>
    <w:rsid w:val="00E328C7"/>
    <w:rsid w:val="00E33BB3"/>
    <w:rsid w:val="00E342D8"/>
    <w:rsid w:val="00E37729"/>
    <w:rsid w:val="00E42B60"/>
    <w:rsid w:val="00E50E5D"/>
    <w:rsid w:val="00E543E8"/>
    <w:rsid w:val="00E55B46"/>
    <w:rsid w:val="00E628B3"/>
    <w:rsid w:val="00E64F3F"/>
    <w:rsid w:val="00E655B1"/>
    <w:rsid w:val="00E658AD"/>
    <w:rsid w:val="00E6650B"/>
    <w:rsid w:val="00E67817"/>
    <w:rsid w:val="00E71E37"/>
    <w:rsid w:val="00E755B2"/>
    <w:rsid w:val="00E7604E"/>
    <w:rsid w:val="00E83A68"/>
    <w:rsid w:val="00E876EB"/>
    <w:rsid w:val="00E93FF8"/>
    <w:rsid w:val="00E95AE7"/>
    <w:rsid w:val="00EA0B47"/>
    <w:rsid w:val="00EA2F1A"/>
    <w:rsid w:val="00EB0327"/>
    <w:rsid w:val="00EB0B17"/>
    <w:rsid w:val="00EB4439"/>
    <w:rsid w:val="00EC561F"/>
    <w:rsid w:val="00EC7321"/>
    <w:rsid w:val="00ED0B5E"/>
    <w:rsid w:val="00EF0463"/>
    <w:rsid w:val="00EF127E"/>
    <w:rsid w:val="00EF2F4F"/>
    <w:rsid w:val="00EF5357"/>
    <w:rsid w:val="00EF5A02"/>
    <w:rsid w:val="00EF7E82"/>
    <w:rsid w:val="00F00085"/>
    <w:rsid w:val="00F0274E"/>
    <w:rsid w:val="00F02853"/>
    <w:rsid w:val="00F03AB3"/>
    <w:rsid w:val="00F10646"/>
    <w:rsid w:val="00F15A4F"/>
    <w:rsid w:val="00F1689D"/>
    <w:rsid w:val="00F20CC3"/>
    <w:rsid w:val="00F23167"/>
    <w:rsid w:val="00F26534"/>
    <w:rsid w:val="00F42F48"/>
    <w:rsid w:val="00F5270B"/>
    <w:rsid w:val="00F539B1"/>
    <w:rsid w:val="00F549D9"/>
    <w:rsid w:val="00F568EC"/>
    <w:rsid w:val="00F620FB"/>
    <w:rsid w:val="00F638F3"/>
    <w:rsid w:val="00F64320"/>
    <w:rsid w:val="00F70139"/>
    <w:rsid w:val="00F801E8"/>
    <w:rsid w:val="00F81F53"/>
    <w:rsid w:val="00F83A59"/>
    <w:rsid w:val="00F84EBD"/>
    <w:rsid w:val="00F93851"/>
    <w:rsid w:val="00F96D17"/>
    <w:rsid w:val="00FA01F6"/>
    <w:rsid w:val="00FA21C4"/>
    <w:rsid w:val="00FA606A"/>
    <w:rsid w:val="00FA631F"/>
    <w:rsid w:val="00FB2978"/>
    <w:rsid w:val="00FB303C"/>
    <w:rsid w:val="00FB56BF"/>
    <w:rsid w:val="00FB5A6F"/>
    <w:rsid w:val="00FB750A"/>
    <w:rsid w:val="00FC109C"/>
    <w:rsid w:val="00FC46AE"/>
    <w:rsid w:val="00FC6022"/>
    <w:rsid w:val="00FD138A"/>
    <w:rsid w:val="00FD171C"/>
    <w:rsid w:val="00FD3225"/>
    <w:rsid w:val="00FE2165"/>
    <w:rsid w:val="00FE3078"/>
    <w:rsid w:val="00FE449F"/>
    <w:rsid w:val="00FF110A"/>
    <w:rsid w:val="00FF3E33"/>
    <w:rsid w:val="00FF500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9C4784-25BB-41B8-9581-C1CE9CE0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2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B"/>
    <w:pPr>
      <w:ind w:left="720"/>
      <w:contextualSpacing/>
    </w:pPr>
  </w:style>
  <w:style w:type="table" w:styleId="a4">
    <w:name w:val="Table Grid"/>
    <w:basedOn w:val="a1"/>
    <w:uiPriority w:val="3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A1"/>
  </w:style>
  <w:style w:type="paragraph" w:styleId="a7">
    <w:name w:val="footer"/>
    <w:basedOn w:val="a"/>
    <w:link w:val="a8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1A1"/>
  </w:style>
  <w:style w:type="paragraph" w:styleId="a9">
    <w:name w:val="Balloon Text"/>
    <w:basedOn w:val="a"/>
    <w:link w:val="aa"/>
    <w:uiPriority w:val="99"/>
    <w:semiHidden/>
    <w:unhideWhenUsed/>
    <w:rsid w:val="00D0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2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1173C7"/>
    <w:rPr>
      <w:color w:val="106BBE"/>
    </w:rPr>
  </w:style>
  <w:style w:type="character" w:styleId="ac">
    <w:name w:val="Emphasis"/>
    <w:basedOn w:val="a0"/>
    <w:uiPriority w:val="20"/>
    <w:qFormat/>
    <w:rsid w:val="00AF60F1"/>
    <w:rPr>
      <w:i/>
      <w:iCs/>
    </w:rPr>
  </w:style>
  <w:style w:type="paragraph" w:customStyle="1" w:styleId="ConsPlusNormal">
    <w:name w:val="ConsPlusNormal"/>
    <w:qFormat/>
    <w:rsid w:val="00397B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DBF2-CCD8-4464-97A3-23490F07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9168</TotalTime>
  <Pages>1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31840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330</cp:revision>
  <cp:lastPrinted>2022-09-27T06:47:00Z</cp:lastPrinted>
  <dcterms:created xsi:type="dcterms:W3CDTF">2015-01-27T08:16:00Z</dcterms:created>
  <dcterms:modified xsi:type="dcterms:W3CDTF">2022-09-27T11:51:00Z</dcterms:modified>
</cp:coreProperties>
</file>