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7618232" r:id="rId7"/>
        </w:pict>
      </w: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      района на Годовой отчет об исполнении бюджета Сортавальского      муниципального района за 2013 год.</w:t>
      </w:r>
    </w:p>
    <w:p w:rsidR="0099694C" w:rsidRDefault="0099694C"/>
    <w:p w:rsidR="0099694C" w:rsidRPr="00937524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Общие положения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937524">
        <w:rPr>
          <w:sz w:val="24"/>
          <w:szCs w:val="24"/>
        </w:rPr>
        <w:t>Заключение на Годовой отчет об исполнении бюджета Со</w:t>
      </w:r>
      <w:r>
        <w:rPr>
          <w:sz w:val="24"/>
          <w:szCs w:val="24"/>
        </w:rPr>
        <w:t>ртавальского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за 2013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муниципальном районе, утвержденным Решением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Сортавальского муниципального района от 13 марта 2014г. №33 «Об утверждении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бюджетном процессе в Сортавальском муниципальном районе», Положением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 с изменениями,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жденными Решением Совета Сортавальского муниципального района от 13 марта 2014г. №38 «О внесении изменений в Положение о контрольно-счетном комитете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утвержденное Решением Совета Сортавальского</w:t>
      </w:r>
      <w:proofErr w:type="gramEnd"/>
      <w:r>
        <w:rPr>
          <w:sz w:val="24"/>
          <w:szCs w:val="24"/>
        </w:rPr>
        <w:t xml:space="preserve"> муниципального района от 26 января 2012 года №232».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подготовке заключения на Годовой отчет об исполнении бюджета Сортавальского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использованы материалы проверок годовой бюджетной отчетности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распорядителей бюджетных средств, главных администраторов доходов бюджета, главных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министраторов источников финансирования дефицита бюджета за 2013 год, дополнительная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запрошенная в ходе проведения проверки.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ходе внешней проверки Годового отчета об исполнении бюджета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правовых актов, проведен анализ на предмет её соответствия по составу, структуре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полнению (содержанию) требованиям Бюджетного кодекса Российской Федерации, Положения о бюджетном процессе в Сортавальском муниципальном районе, Приказа Минфина РФ</w:t>
      </w:r>
      <w:proofErr w:type="gramEnd"/>
      <w:r>
        <w:rPr>
          <w:sz w:val="24"/>
          <w:szCs w:val="24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Приказа Минфина РФ от 21.12.2012г. №171н «Об утверждении Указаний о порядке применения бюджетной классификации РФ на 2013 год и на плановый период 2014 и 2015 годов» (с изменениями и дополнениями)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Указания о применении бюджетной классификации РФ)  </w:t>
      </w:r>
    </w:p>
    <w:p w:rsidR="0099694C" w:rsidRDefault="0099694C" w:rsidP="0099694C">
      <w:pPr>
        <w:ind w:left="1080"/>
        <w:rPr>
          <w:b/>
          <w:sz w:val="28"/>
          <w:szCs w:val="28"/>
        </w:rPr>
      </w:pP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72C9C">
        <w:rPr>
          <w:sz w:val="24"/>
          <w:szCs w:val="24"/>
        </w:rPr>
        <w:t xml:space="preserve">В 2013г. </w:t>
      </w:r>
      <w:r>
        <w:rPr>
          <w:sz w:val="24"/>
          <w:szCs w:val="24"/>
        </w:rPr>
        <w:t>в Сортавальском муниципальном районе бюджетный процесс основывался на нормах Бюджетного кодекса РФ, Положении о бюджетном процессе в Сортавальском муниципальном районе, Уставе Сортавальского муниципального района, и других нормативных правовых актах.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Совета Сортавальского муниципального района от 06.12.2012г. №285 «О бюджете Сортавальского муниципального района на 2013 год и плановый период 2014 и 2015 годов» утвержден бюджет Сортавальского муниципального района на 2013 год и плановый 2014 и 2015 годы. Бюджет утвержден до начала очередного финансового года, т.е.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 бюджетного законодательства. Основные характеристики утвержденного бюджета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ветствуют требованиям ст.184.1Бюджетного кодекса РФ.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годового Отчета об исполнении бюджета        Сортавальского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Внешняя проверка годового отчета об исполнении бюджета Сортавальского муниципального района проведена Контрольно-счетным комитетом Сортавальского муниципального района с соблюдением требований Бюджетного кодекса РФ.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Администрацией Сортавальского муниципального района своевременно (до 1 апреля – фактически 18.03.2014г.) отчет направлен в Контрольно-счетный комитет Сортавальского муниципального района.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об исполнении бюджета Сортавальского муниципального района за 2013 год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 в составе: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Отчета об исполнении консолидированного бюджета (форма 0503317);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Баланс исполнения консолидированного бюджета (форма 0503320);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заключению счетов бюджетного учета отчетного финансового года (форма 0503110) -410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заключению счетов бюджетного учета отчетного финансового года (форма 0503110) – 410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заключению счетов бюджетного учета отчетного финансового года (форма 0503110) – 410;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об остатках средств на счетах бюджетов;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Консолидированный отчет о финансовых результатах деятельности (форма 0503321);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Консолидированный отчет о движении денежных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0503323);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(форма 0503125)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получателей бюджетных средств (форма 050361);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(форма 0503364);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(форма 0503368);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по дебиторской задолженности (бюджетная деятельность) (форма 0503369);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по кредиторской задолженности (бюджетная деятельность) (форма 0503369);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финансовых вложениях (форма 0503371);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государственном (муниципальном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олге (форма 0503372);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(бюджетная деятельность) (форма 0503373);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недостачах и хищениях денежных средств и материальных ценностей (форма 0503376);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использовании информационно-коммуникационных технологий в консолидир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ванный бюджет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0503377).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Сводный отчет о кассовых поступлениях и выбытиях (ОФК) (форма 0503152);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отчету об исполнении бюджета за 2013 год </w:t>
      </w:r>
      <w:proofErr w:type="gramStart"/>
      <w:r>
        <w:rPr>
          <w:sz w:val="24"/>
          <w:szCs w:val="24"/>
        </w:rPr>
        <w:t>приложены</w:t>
      </w:r>
      <w:proofErr w:type="gramEnd"/>
      <w:r>
        <w:rPr>
          <w:sz w:val="24"/>
          <w:szCs w:val="24"/>
        </w:rPr>
        <w:t>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о соблюдении муниципальным образованием требований Бюджетного кодекса РФ;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-Акт сверки задолженности бюджета Сортавальского муниципального района по бюджетным ссудам и кредитам, выданным из бюджета Республики Карелия;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Акты сверки расчетов по межбюджетным отношениям бюджета Республики Карелия с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Сортавальского муниципального района;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Сводный акт сверки расчетов по межбюджетным трансфертам на 01 января 2014г. Бюджетов поселений с бюджетом Сортавальского муниципального района;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Сводный акт сверки задолженности бюджетов городских и сельских поселений по бюджетным кредитам, выданным из бюджета Сортавальского муниципального района по состоянию на 1 января 2014 года;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реализации подпрограммы «Обеспечение жильем молодых семей» ФЦП «Жилище» на 2011-2015 годы;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использовании субвенций, выделенных из бюджета Республики Карелия на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полнение полномочий по обеспечению жилыми помещениями специализированного жилого фонда детей-сирот, детей, оставшихся без попечения родителей, лиц из их числа;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Расшифровка расходов по разделу 05 « Жилищно-коммунальное хозяйство» к годовому отчету об исполнении консолидированного бюджета муниципального района (городского округа);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Расшифровка расходов по капитальному строительству и реконструкции объектов в разрезе отраслей по разделам, подразделам, целевым статьям, видам расходов и экономическим статьям бюджетной классификации;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расходах на дорожную деятельность и на капитальный ремонт и ремонт дворовых территорий многоквартирных домов, проездов к дворовым территориям многоквартирных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мов, населенных пунктов за счет средств бюджетов всех уровней;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государственной поддержке субъектов малого и среднего предпринимательства;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Расшифровка капитальных расходов бюджетов за 2013-2014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использовании иных межбюджетных трансфертов на реализацию дополнительн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мероприятия, направленного на снижение напряженности на рынке труда Республики Кар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лия;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расходовании средств на содержание детей-сирот и детей, оставшихся без попечения родителей, в муниципальных учреждениях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расходовании средств на содержание детей-сирот и детей, оставшихся без попечения родителей, в семьях опекунов, приемных родителей, патронатных воспитателей;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Расшифровка расходов раздела 10 «Социальная политика» по подразделам, целевым статьям, видам расходов и экономическим статьям бюджетной классификации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сетевых показателях и расходах муниципальных казенных учреждений социальн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обслуживания населения;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-Сведения о сетевых показателях и расходах муниципальных бюджетных учреждений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обслуживания населения;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Справочная информация об использовании средств на обеспечение жильем молодых семей и молодых специалистов, проживающих в сельской местности;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Основные параметры исполнения консолидированного бюджета муниципального района (г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округа) по состоянию на 01.01.2014г.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Годовая бюджетная отчетность главных распорядителей бюджетных средств, главных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страторов доходов бюджета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главных администраторов источников финансирования дефицита бюджета Сортавальского муниципального района.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осуществления контрольных мероприятий в ходе внешней проверки годового отчета об исполнении бюджета Сортавальского муниципального района контрольно-счетным комит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дополнительно были использованы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Сортавальского муниципального района от 06.12.2013г. №285 « О бюджете Сортавальского муниципального района на 2013 год и на плановый период 2014 и 2015 годов»;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Сортавальского муниципального района от 30.04.2013г. №315 « О внесении изменений и дополнений в решение Совета Сортавальского муниципального района №285 от 06.12.2012г. «О бюджете Сортавальского муниципального района на 2013 год и плановый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од 2014-2015 годов»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Сортавальского муниципального района от 11.12.2013г. №16 «О внесении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и дополнений в решение Совета Сортавальского муниципального района от 06.12.2012года №285 «О бюджете Сортавальского муниципального района на 2013 год и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2014-2015 годов»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также дополнительно была запрошена информация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Сводная бюджетная роспись бюджета Сортавальского муниципального района за 2013г.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по использованию средств резервного фонда за 2013г.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Бюджетная отчетность составлена органом, организующим исполнение бюджета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– Финансовым управлением Сортавальского муниципального района на основании сводной бюджетной отчетности главных распорядителей бюджетных средств, главных администраторов доходов бюджета, что соответствует пункту 4 ст.264.2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жетного кодекса РФ.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структуре и содержанию бюджетная отчетность Сортавальского муниципального района соответствует требованиям Инструкции №191н и Указаниям о применении бюджетной класс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фикации РФ.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нения бюджета за 2013 год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Первоначально бюджет Сортавальского муниципального района на 2013год (решение Совета Сортавальского муниципального района от 06.12.2012г. №285) был утвержден по доходным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точникам в сумме 527 502,1 тыс. руб., расходным обязательствам – 554 532,0 тыс. руб.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2013 года в утвержденный бюджет изменения вносились 2 раза (Решение совета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от 30.04.2013г. №315;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совета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от 11.12.2013г. №16).</w:t>
      </w:r>
      <w:proofErr w:type="gramEnd"/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утвержденный бюджет в основном связано: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необходимостью отражения в доходной и расходной части бюджета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полученных безвозмездных поступлений;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исполнения. 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внесенных изменений и дополнений в бюджет Сортавальского муниципального района его доходная часть увеличилась на 126 373,6 тыс. руб. и составила 653 875,7 тыс. руб., расходная част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на 132 709,1 тыс. руб. и составила 687 241,1 тыс. руб., дефицит бюджета Со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тавальского муниципального района увеличился на 6 335,5 тыс. руб. и составил 33 365,4 тыс. руб. В соответствии с ст.232 Бюджетного кодекса РФ в Годовом отчете об исполнении бюджета отражены утвержденные бюджетные назначения по доходам в сумме 684 418,9тыс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по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ходам – 717 784,3 тыс. руб.,  дефицит бюджета – 33 365,4 тыс. руб.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отчетных данных бюджет по доходам исполнен в размере 664 680,4 тыс. руб. или на 97,1% к утвержденным бюджетным назначениям, по расходам исполнение составило 681 280,9 тыс. руб. или 94,9 %.</w:t>
      </w:r>
    </w:p>
    <w:p w:rsidR="0099694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данным Отчета об исполнении бюджета за 2013 год бюджет исполнен с дефицитом 16 600,5 тыс. руб., что составляет 5,4% к утвержденному годовому объему доходов бюджета Сортавальского муниципального района (без учета утвержденного объема безвозмездных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ступлений) и соответствует нормам Бюджетного кодекса </w:t>
      </w:r>
      <w:proofErr w:type="gramStart"/>
      <w:r>
        <w:rPr>
          <w:sz w:val="24"/>
          <w:szCs w:val="24"/>
        </w:rPr>
        <w:t>РФ</w:t>
      </w:r>
      <w:proofErr w:type="gramEnd"/>
      <w:r>
        <w:rPr>
          <w:sz w:val="24"/>
          <w:szCs w:val="24"/>
        </w:rPr>
        <w:t xml:space="preserve"> заложенными в ст.92.1 «Дефицит бюджета субъекта РФ, дефицит местного бюджета» подпункт 3.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исполнения показателей доходной части бюджета Сорт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вальского муниципального района</w:t>
      </w:r>
      <w:proofErr w:type="gramEnd"/>
      <w:r>
        <w:rPr>
          <w:b/>
          <w:sz w:val="28"/>
          <w:szCs w:val="28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2013год в бюджет Сортавальского муниципального района поступило 664 680,4 тыс. руб., что составляет 97,1 % от утвержденных бюджетных назначений.  Налоговые и неналоговые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ходы составили в доходной части бюджета Сортавальского муниципального района 46,21 %. План по налоговым доходам выполнен на 104,2 %, в бюджет поступило 227 107,8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План по неналоговым доходам выполнен на 79,3%, в бюджет поступило 80 043,0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 году размер безвозмездных поступлений от других бюджетов бюджетной системы РФ составил в денежном выражении 357 529,6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Доля безвозмездных поступлений в дохо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ной части бюджета Сортавальского муниципального района составила 53,79%.</w:t>
      </w:r>
    </w:p>
    <w:p w:rsidR="0099694C" w:rsidRPr="008100C6" w:rsidRDefault="0099694C" w:rsidP="0099694C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платежи за 2013год поступили в сумме 227 107,8 тыс. руб., что на 9 084,8 тыс. руб. больше утвержденных плановых назначений или 104,2% утвержденного плана.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выполнены не по всем видам поступлений: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единый налог на вмененный доход для отдельных видов деятельности выполнен на 96,58 % от плановых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единый сельскохозяйственный налог выполнен на 99,02 % от плановых назначений. 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отчетном году 97,62% налоговых поступлений в  бюджет Сортавальского муниципального района были сформированы за счет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– 192 406,1 тыс. руб. (84,72% от общей суммы поступи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ших налоговых платежей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единый налог на вмененный доход для отдельных видов деятельности – 29 295,8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12,9 % от общей суммы поступивших налоговых платежей).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2013г. Основным источником доходов бюджета Сортавальского муниципального района в общей сумме налоговых доходов являлся налог на доходы физических лиц.</w:t>
      </w:r>
    </w:p>
    <w:p w:rsidR="0099694C" w:rsidRDefault="0099694C" w:rsidP="0099694C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Сортавальского муниципального района от 06.12.2012г. №285 (с последу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изменениями и дополнениями) неналоговые доходы бюджета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на 2013 год утверждены в сумме 100 936,6 тыс. руб. По данным годового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неналоговые доходы исполнены в сумме 80 043, 0 тыс. руб., или 79,3% от утвержденных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Доля утвержденных бюджетных назначений по неналоговым доходам в доходной части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Сортавальского муниципального района составила 14,75%.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структуре неналоговых доходов наибольший удельный вес занимают: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и нематериальных активов – 56 845,0 тыс. руб., что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56,32% от общего объема запланированных неналоговых доходов;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доходы от оказания платных услуг (работ) и компенсации затрат государства – 25 561,6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25,32%)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муниципальной собственности – 12 590, 0 тыс. руб. (12,47%).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Фактическое поступление в бюджет Сортавальского муниципального района за 2013г.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вило 80 043,0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Наибольший удельный вес в поступивших неналоговых доходах занимают: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доходы от продажи материальных и нематериальных активов – 35 431,8 тыс. руб., что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44,27 % от общей суммы поступивших неналоговых доходов, при этом выполнение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назначений по данному виду доходов за 2013г. составило  62,33 %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оказания платных услуг (работ) и компенсации затрат государства – 25 561,6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31,96%) , выполнение плана по данному виду доходов составило 100,08% от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использования имущества, находящегося в муниципальной собственности – 12978,1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16,21%), выполнение плана по данному виду  доходов составило 103,08% от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назначений.</w:t>
      </w:r>
    </w:p>
    <w:p w:rsidR="0099694C" w:rsidRDefault="0099694C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Безвозмездные поступления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доходную часть бюджета Сортавальского муниципального района из бюджетов других уровней поступило 357 529,6 тыс. руб. безвозмездных поступлений или 97,8 % от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жденного плана, что составляет 53,79% от общей суммы доходов, в том числе: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Субсидии из федерального бюджета и бюджета Республики Карелия – 87 041,3 тыс. руб. (92,93% от утвержденных плановых назначений);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из федерального бюджета и бюджета Республики Карелия – 273 627,4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99,55 % от утвержденных плановых назначений);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трансферты, переданные бюджету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из федерального бюджета и бюджета Республики Карелия – 369,5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99,38% от утвержденных плановых назначений); 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трансферты, переданные бюджету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из бюджетов поселений в соответствии с заключенными соглашениями на осуществление части полномочий по решению вопросов местного значения – 608,9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91% от утвержденных плановых назначений)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Сортавальского муниципального района от возврата бюджетами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системы РФ (бюджеты поселений) и организациями остатков субсидий, субве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ций и иных межбюджетных трансфертов, имеющих целевое назначение, прошлых лет – 326,5 тыс. руб.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101,02% от утвержденных плановых назначений)</w:t>
      </w:r>
    </w:p>
    <w:p w:rsidR="0099694C" w:rsidRDefault="0099694C" w:rsidP="0099694C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Возврат из бюджета Сортавальского муниципального района бюджетам бюджетной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стемы РФ остатков субсидий, субвенций и иных межбюджетных трансфертов, имеющих целевое назначение, прошлых лет - -4 444 ,1 тыс. руб.    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исполнения показателей расходной части бюджета Сорт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вальского муниципального района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Финансовые ресурсы бюджета Сортавальского муниципального района в 2013г. распредел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разделу </w:t>
      </w:r>
      <w:r>
        <w:rPr>
          <w:b/>
          <w:sz w:val="24"/>
          <w:szCs w:val="24"/>
        </w:rPr>
        <w:t>0100 «Общегосударственные вопросы»</w:t>
      </w:r>
      <w:r>
        <w:rPr>
          <w:sz w:val="24"/>
          <w:szCs w:val="24"/>
        </w:rPr>
        <w:t xml:space="preserve"> бюджетные назначения исполнены в сумме 55 408,6 тыс. руб. или  на 95,64% от утвержденного плана. Доля расходов по этому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делу составляет 8,13 % от общей суммы расходов за 2013 год.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 Общегосударственные вопросы» составляют расходы: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0104 «</w:t>
      </w:r>
      <w:r>
        <w:rPr>
          <w:i/>
          <w:sz w:val="24"/>
          <w:szCs w:val="24"/>
        </w:rPr>
        <w:t>Функционирование Правительства РФ, высших исполнительных органов  государственной власти субъектов РФ, местных администраций»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составляет 44,33% от общего объема расходов по разделу. Исполнение по данному подразделу составило 24 564,6 тыс. руб. или 98,24% утвержденного плана; </w:t>
      </w:r>
    </w:p>
    <w:p w:rsidR="0099694C" w:rsidRPr="005405A1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0113 </w:t>
      </w:r>
      <w:r>
        <w:rPr>
          <w:i/>
          <w:sz w:val="24"/>
          <w:szCs w:val="24"/>
        </w:rPr>
        <w:t xml:space="preserve">«Другие общегосударственные вопросы». </w:t>
      </w:r>
      <w:r>
        <w:rPr>
          <w:sz w:val="24"/>
          <w:szCs w:val="24"/>
        </w:rPr>
        <w:t>Исполнение по данному подра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делу составило 22 899,7 тыс. руб. или 93,76% утвержденного плана и составляет 41,33 % от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щего объема расходов по разделу.  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По подразделу 0102</w:t>
      </w:r>
      <w:r>
        <w:rPr>
          <w:i/>
          <w:sz w:val="24"/>
          <w:szCs w:val="24"/>
        </w:rPr>
        <w:t xml:space="preserve"> « Функционирование высшего должностного лица субъекта РФ и мун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ципального образования» </w:t>
      </w:r>
      <w:r>
        <w:rPr>
          <w:sz w:val="24"/>
          <w:szCs w:val="24"/>
        </w:rPr>
        <w:t>бюджетные ассигнования на 2013год окончательно утверждены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 17,9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17,7 тыс. руб. или 98,88%.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 0103</w:t>
      </w:r>
      <w:r>
        <w:rPr>
          <w:i/>
          <w:sz w:val="24"/>
          <w:szCs w:val="24"/>
        </w:rPr>
        <w:t xml:space="preserve"> « Функционирование законодательных (представительных</w:t>
      </w:r>
      <w:proofErr w:type="gramStart"/>
      <w:r>
        <w:rPr>
          <w:i/>
          <w:sz w:val="24"/>
          <w:szCs w:val="24"/>
        </w:rPr>
        <w:t>)о</w:t>
      </w:r>
      <w:proofErr w:type="gramEnd"/>
      <w:r>
        <w:rPr>
          <w:i/>
          <w:sz w:val="24"/>
          <w:szCs w:val="24"/>
        </w:rPr>
        <w:t>рганов гос</w:t>
      </w:r>
      <w:r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дарственной власти и представительных органов муниципальных образований» </w:t>
      </w:r>
      <w:r>
        <w:rPr>
          <w:sz w:val="24"/>
          <w:szCs w:val="24"/>
        </w:rPr>
        <w:t>бюджетные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сигнования на 2013год утверждены в сумме 61,0 тыс. руб.. Исполнение составило 39,0 тыс. руб. или 63,93%.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0105 «</w:t>
      </w:r>
      <w:r>
        <w:rPr>
          <w:i/>
          <w:sz w:val="24"/>
          <w:szCs w:val="24"/>
        </w:rPr>
        <w:t xml:space="preserve">Судебная система» </w:t>
      </w:r>
      <w:r w:rsidRPr="005405A1">
        <w:rPr>
          <w:sz w:val="24"/>
          <w:szCs w:val="24"/>
        </w:rPr>
        <w:t>бюджетные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ассигнования на 2013год утверждены в сумме 9,0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9,0 тыс. руб. или 100%.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подразделу 0106 </w:t>
      </w:r>
      <w:r>
        <w:rPr>
          <w:i/>
          <w:sz w:val="24"/>
          <w:szCs w:val="24"/>
        </w:rPr>
        <w:t>«Обеспечение деятельности финансовых, налоговых и таможенных о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>ганов и органов финансового (финансово-бюджетного) надзора»</w:t>
      </w:r>
      <w:r>
        <w:rPr>
          <w:sz w:val="24"/>
          <w:szCs w:val="24"/>
        </w:rPr>
        <w:t xml:space="preserve"> бюджетные ассигнования на 2013год утверждены в сумме 8 203,4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7 878,5 тыс. руб. или 96,04 %.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 подразделу 0111</w:t>
      </w:r>
      <w:r>
        <w:rPr>
          <w:i/>
          <w:sz w:val="24"/>
          <w:szCs w:val="24"/>
        </w:rPr>
        <w:t xml:space="preserve"> «Резервные фонды»</w:t>
      </w:r>
      <w:r>
        <w:rPr>
          <w:sz w:val="24"/>
          <w:szCs w:val="24"/>
        </w:rPr>
        <w:t xml:space="preserve"> на основании отчета об исполнении бюджета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жетные ассигнования утверждены в сумме 215,8 тыс. руб.. В соответствии со статьей 8 Решения Совета Сортавальского муниципального района от 06.12.2012г. №285 «О бюджете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на 2013 год и на плановый период 2014 и 2015 годов» создан в расходной части бюджета резервный фонд Администрации Сортавальского муниципального района</w:t>
      </w:r>
      <w:proofErr w:type="gramEnd"/>
      <w:r>
        <w:rPr>
          <w:sz w:val="24"/>
          <w:szCs w:val="24"/>
        </w:rPr>
        <w:t xml:space="preserve"> в размере 200,0 тыс. руб. и резервный фонд Администрации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для ликвидации чрезвычайных ситуаций в размере 200,0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>
        <w:rPr>
          <w:b/>
          <w:sz w:val="24"/>
          <w:szCs w:val="24"/>
        </w:rPr>
        <w:t>0200 «Национальная оборона»</w:t>
      </w:r>
      <w:r>
        <w:rPr>
          <w:sz w:val="24"/>
          <w:szCs w:val="24"/>
        </w:rPr>
        <w:t xml:space="preserve"> исполнены в полном объеме, т.е. 100% от плановых назначений и составили 690,4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5405A1"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 </w:t>
      </w:r>
      <w:r w:rsidRPr="005405A1">
        <w:rPr>
          <w:b/>
          <w:sz w:val="24"/>
          <w:szCs w:val="24"/>
        </w:rPr>
        <w:t>Национальная безопасность и правоохранительная деятел</w:t>
      </w:r>
      <w:r w:rsidRPr="005405A1">
        <w:rPr>
          <w:b/>
          <w:sz w:val="24"/>
          <w:szCs w:val="24"/>
        </w:rPr>
        <w:t>ь</w:t>
      </w:r>
      <w:r w:rsidRPr="005405A1">
        <w:rPr>
          <w:b/>
          <w:sz w:val="24"/>
          <w:szCs w:val="24"/>
        </w:rPr>
        <w:t xml:space="preserve">ность» </w:t>
      </w:r>
      <w:r w:rsidRPr="005405A1">
        <w:rPr>
          <w:sz w:val="24"/>
          <w:szCs w:val="24"/>
        </w:rPr>
        <w:t xml:space="preserve">исполнены </w:t>
      </w:r>
      <w:r>
        <w:rPr>
          <w:sz w:val="24"/>
          <w:szCs w:val="24"/>
        </w:rPr>
        <w:t>в полном объеме, т.е. 100% от плановых назначений и составили 470,0 тыс. руб. Все расходы по данному разделу осуществлялись по подразделу 0309 «</w:t>
      </w:r>
      <w:r>
        <w:rPr>
          <w:i/>
          <w:sz w:val="24"/>
          <w:szCs w:val="24"/>
        </w:rPr>
        <w:t>Защита насел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ния и территории от последствий чрезвычайных ситуаций природного и техногенного хара</w:t>
      </w:r>
      <w:r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тера, гражданская оборона».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>
        <w:rPr>
          <w:b/>
          <w:sz w:val="24"/>
          <w:szCs w:val="24"/>
        </w:rPr>
        <w:t xml:space="preserve">0400 « Национальная экономика» </w:t>
      </w:r>
      <w:r w:rsidRPr="005405A1">
        <w:rPr>
          <w:sz w:val="24"/>
          <w:szCs w:val="24"/>
        </w:rPr>
        <w:t>исполнены в 2013г.</w:t>
      </w:r>
      <w:r>
        <w:rPr>
          <w:b/>
          <w:sz w:val="24"/>
          <w:szCs w:val="24"/>
        </w:rPr>
        <w:t xml:space="preserve"> </w:t>
      </w:r>
      <w:r w:rsidRPr="005405A1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   20 734,0  тыс. руб.  или 79,63% от утвержденных назначений.  Расходы по разделу составляют 3,04 % от общих расходов бюджета Сортавальского муниципального района.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удельный вес в данном разделе занимают расходы по подразделу 0409 «</w:t>
      </w:r>
      <w:r>
        <w:rPr>
          <w:i/>
          <w:sz w:val="24"/>
          <w:szCs w:val="24"/>
        </w:rPr>
        <w:t>Доро</w:t>
      </w:r>
      <w:r>
        <w:rPr>
          <w:i/>
          <w:sz w:val="24"/>
          <w:szCs w:val="24"/>
        </w:rPr>
        <w:t>ж</w:t>
      </w:r>
      <w:r>
        <w:rPr>
          <w:i/>
          <w:sz w:val="24"/>
          <w:szCs w:val="24"/>
        </w:rPr>
        <w:t>ное хозяйств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 xml:space="preserve">дорожные фонды)» </w:t>
      </w:r>
      <w:r w:rsidRPr="005405A1">
        <w:rPr>
          <w:sz w:val="24"/>
          <w:szCs w:val="24"/>
        </w:rPr>
        <w:t>(</w:t>
      </w:r>
      <w:r>
        <w:rPr>
          <w:sz w:val="24"/>
          <w:szCs w:val="24"/>
        </w:rPr>
        <w:t>80,55%). Исполнение по подразделу составило 16 700,8 тыс. руб. или 83,6% от утвержденных плановых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0412 </w:t>
      </w:r>
      <w:r>
        <w:rPr>
          <w:i/>
          <w:sz w:val="24"/>
          <w:szCs w:val="24"/>
        </w:rPr>
        <w:t>«Другие вопросы в области национальной экономики»</w:t>
      </w:r>
      <w:r>
        <w:rPr>
          <w:sz w:val="24"/>
          <w:szCs w:val="24"/>
        </w:rPr>
        <w:t xml:space="preserve"> исполнение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4033,2 тыс. руб. или 66,55 % от плановых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Объем расходов по разделу </w:t>
      </w:r>
      <w:r>
        <w:rPr>
          <w:b/>
          <w:sz w:val="24"/>
          <w:szCs w:val="24"/>
        </w:rPr>
        <w:t>0500 «Жилищно-коммунальное хозяйство»</w:t>
      </w:r>
      <w:r>
        <w:rPr>
          <w:sz w:val="24"/>
          <w:szCs w:val="24"/>
        </w:rPr>
        <w:t xml:space="preserve"> составил 4 059,3 тыс. руб., что составляет 93,25 % к утвержденному плану 2013 года. Доля расходов по данному разделу в общей сумме расходов бюджета Сортавальского муниципального района составили 0,6%.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«Жилищно-коммунальное хозяйство» составляют расходы по подразделу 0502</w:t>
      </w:r>
      <w:r>
        <w:rPr>
          <w:i/>
          <w:sz w:val="24"/>
          <w:szCs w:val="24"/>
        </w:rPr>
        <w:t xml:space="preserve"> «Коммунальное хозяйство»</w:t>
      </w:r>
      <w:r>
        <w:rPr>
          <w:sz w:val="24"/>
          <w:szCs w:val="24"/>
        </w:rPr>
        <w:t>77,83%. Исполнение утвержденного плана по этому подразделу составило 3 159,3 тыс. руб. или 91,49 %.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Исполнение по подразделу 0503 </w:t>
      </w:r>
      <w:r w:rsidRPr="005405A1">
        <w:rPr>
          <w:i/>
          <w:sz w:val="24"/>
          <w:szCs w:val="24"/>
        </w:rPr>
        <w:t>«Благоустройство</w:t>
      </w:r>
      <w:r>
        <w:rPr>
          <w:sz w:val="24"/>
          <w:szCs w:val="24"/>
        </w:rPr>
        <w:t>»  составило 900,0 тыс. руб. или 100 % от утвержденных плановых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5405A1">
        <w:rPr>
          <w:b/>
          <w:sz w:val="24"/>
          <w:szCs w:val="24"/>
        </w:rPr>
        <w:t>0700</w:t>
      </w:r>
      <w:r>
        <w:rPr>
          <w:b/>
          <w:sz w:val="24"/>
          <w:szCs w:val="24"/>
        </w:rPr>
        <w:t xml:space="preserve"> «Образование»  </w:t>
      </w:r>
      <w:r w:rsidRPr="005405A1">
        <w:rPr>
          <w:sz w:val="24"/>
          <w:szCs w:val="24"/>
        </w:rPr>
        <w:t>составили</w:t>
      </w:r>
      <w:r>
        <w:rPr>
          <w:sz w:val="24"/>
          <w:szCs w:val="24"/>
        </w:rPr>
        <w:t xml:space="preserve"> в 2013году 445 382,2 тыс. руб. или     95,81 % утвержденного плана. Расходы по данному разделу составили 65,37 % от общего объ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 расходов бюджета.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05A1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   Наибольший удельный вес в данном разделе занимают расходы: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0702 «</w:t>
      </w:r>
      <w:r w:rsidRPr="005405A1">
        <w:rPr>
          <w:i/>
          <w:sz w:val="24"/>
          <w:szCs w:val="24"/>
        </w:rPr>
        <w:t>Общее образование</w:t>
      </w:r>
      <w:r>
        <w:rPr>
          <w:i/>
          <w:sz w:val="24"/>
          <w:szCs w:val="24"/>
        </w:rPr>
        <w:t xml:space="preserve">» </w:t>
      </w:r>
      <w:r w:rsidRPr="005405A1">
        <w:rPr>
          <w:sz w:val="24"/>
          <w:szCs w:val="24"/>
        </w:rPr>
        <w:t>(</w:t>
      </w:r>
      <w:r>
        <w:rPr>
          <w:sz w:val="24"/>
          <w:szCs w:val="24"/>
        </w:rPr>
        <w:t>63,23%). Исполнение по подразделу составило 281 631,9 тыс. руб. или 95,99% от утвержденных плановых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подразделу 0701 </w:t>
      </w:r>
      <w:r w:rsidRPr="005405A1">
        <w:rPr>
          <w:i/>
          <w:sz w:val="24"/>
          <w:szCs w:val="24"/>
        </w:rPr>
        <w:t>«Дошкольное образование»</w:t>
      </w:r>
      <w:r>
        <w:rPr>
          <w:sz w:val="24"/>
          <w:szCs w:val="24"/>
        </w:rPr>
        <w:t xml:space="preserve"> (31,43%). Исполнение по подразделу составило 139 973 тыс. руб. или 95,88 % от утвержденных плановых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Исполнение по подразделу 0707 </w:t>
      </w:r>
      <w:r>
        <w:rPr>
          <w:i/>
          <w:sz w:val="24"/>
          <w:szCs w:val="24"/>
        </w:rPr>
        <w:t xml:space="preserve">«Молодежная политика и оздоровление детей» </w:t>
      </w:r>
      <w:r w:rsidRPr="005405A1">
        <w:rPr>
          <w:sz w:val="24"/>
          <w:szCs w:val="24"/>
        </w:rPr>
        <w:t>составило 1458,1 тыс. руб. или 99,19% от утве</w:t>
      </w:r>
      <w:r>
        <w:rPr>
          <w:sz w:val="24"/>
          <w:szCs w:val="24"/>
        </w:rPr>
        <w:t>ржденных плановых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Исполнение по подразделу 0709</w:t>
      </w:r>
      <w:r>
        <w:rPr>
          <w:i/>
          <w:sz w:val="24"/>
          <w:szCs w:val="24"/>
        </w:rPr>
        <w:t xml:space="preserve"> «Другие вопросы в области образования»</w:t>
      </w:r>
      <w:r>
        <w:rPr>
          <w:sz w:val="24"/>
          <w:szCs w:val="24"/>
        </w:rPr>
        <w:t xml:space="preserve"> составило 22 319,3 тыс. руб. или 92,99 % от утвержденных плановых назначений.</w:t>
      </w:r>
    </w:p>
    <w:p w:rsidR="0099694C" w:rsidRPr="005405A1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по разделу </w:t>
      </w:r>
      <w:r w:rsidRPr="005405A1">
        <w:rPr>
          <w:b/>
          <w:sz w:val="24"/>
          <w:szCs w:val="24"/>
        </w:rPr>
        <w:t>0800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Культура, кинематография»</w:t>
      </w:r>
      <w:r>
        <w:rPr>
          <w:sz w:val="24"/>
          <w:szCs w:val="24"/>
        </w:rPr>
        <w:t xml:space="preserve"> составили в 2013году 35 481,4 тыс. руб. или 96,51% утвержденного плана. Расходы по данному разделу составили 5,21 % от общего объема расходов бюджета.</w:t>
      </w:r>
    </w:p>
    <w:p w:rsidR="0099694C" w:rsidRDefault="0099694C" w:rsidP="0099694C">
      <w:pPr>
        <w:jc w:val="both"/>
        <w:rPr>
          <w:sz w:val="24"/>
          <w:szCs w:val="24"/>
        </w:rPr>
      </w:pPr>
      <w:r w:rsidRPr="005405A1">
        <w:rPr>
          <w:b/>
          <w:sz w:val="28"/>
          <w:szCs w:val="28"/>
        </w:rPr>
        <w:t xml:space="preserve">   </w:t>
      </w:r>
      <w:r w:rsidRPr="00BD658D">
        <w:rPr>
          <w:sz w:val="24"/>
          <w:szCs w:val="24"/>
        </w:rPr>
        <w:t xml:space="preserve">Наибольший удельный вес в </w:t>
      </w:r>
      <w:r>
        <w:rPr>
          <w:sz w:val="24"/>
          <w:szCs w:val="24"/>
        </w:rPr>
        <w:t>разделе «Культура, кинематография» занимают расходы по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разделу 0801 </w:t>
      </w:r>
      <w:r>
        <w:rPr>
          <w:i/>
          <w:sz w:val="24"/>
          <w:szCs w:val="24"/>
        </w:rPr>
        <w:t>«Культура»</w:t>
      </w:r>
      <w:r>
        <w:rPr>
          <w:sz w:val="24"/>
          <w:szCs w:val="24"/>
        </w:rPr>
        <w:t>. Исполнение по данному подразделу составило 32 410,6 тыс. руб. или 96,68 % утвержденного плана. Расходы по подразделу занимают 91,35% от общего объема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ходов по разделу.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Исполнение по подразделу 0804</w:t>
      </w:r>
      <w:r>
        <w:rPr>
          <w:i/>
          <w:sz w:val="24"/>
          <w:szCs w:val="24"/>
        </w:rPr>
        <w:t xml:space="preserve"> «Другие вопросы в области культуры, кинематографии»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ставило 3 070,8 тыс. руб. или 94,7 % от утвержденных плановых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>
        <w:rPr>
          <w:b/>
          <w:sz w:val="24"/>
          <w:szCs w:val="24"/>
        </w:rPr>
        <w:t>0900 «Здравоохранение»</w:t>
      </w:r>
      <w:r>
        <w:rPr>
          <w:sz w:val="24"/>
          <w:szCs w:val="24"/>
        </w:rPr>
        <w:t xml:space="preserve"> составили в 2013г. 289,8 тыс. руб. или 100 % от утвержденного плана. Доля расходов по данному разделу в общем объеме расходов бюджета составляет 0,04%. Весь объем расходов в данном разделе приходится на подраздел 0902 </w:t>
      </w:r>
      <w:r>
        <w:rPr>
          <w:i/>
          <w:sz w:val="24"/>
          <w:szCs w:val="24"/>
        </w:rPr>
        <w:t>«Амб</w:t>
      </w:r>
      <w:r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латорная помощь»</w:t>
      </w:r>
      <w:r>
        <w:rPr>
          <w:sz w:val="24"/>
          <w:szCs w:val="24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BD658D">
        <w:rPr>
          <w:b/>
          <w:sz w:val="24"/>
          <w:szCs w:val="24"/>
        </w:rPr>
        <w:t>1000</w:t>
      </w:r>
      <w:r>
        <w:rPr>
          <w:b/>
          <w:sz w:val="24"/>
          <w:szCs w:val="24"/>
        </w:rPr>
        <w:t xml:space="preserve"> «Социальная политика»</w:t>
      </w:r>
      <w:r>
        <w:rPr>
          <w:sz w:val="24"/>
          <w:szCs w:val="24"/>
        </w:rPr>
        <w:t xml:space="preserve"> составили в 2013году 90 945,8 тыс. руб. или 94,53% утвержденного плана. Доля в общем объеме расходов бюджета составила 13,35 %.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удельный вес в данном разделе занимают расходы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1004 </w:t>
      </w:r>
      <w:r>
        <w:rPr>
          <w:i/>
          <w:sz w:val="24"/>
          <w:szCs w:val="24"/>
        </w:rPr>
        <w:t>«Охрана семьи и детства»</w:t>
      </w:r>
      <w:r>
        <w:rPr>
          <w:sz w:val="24"/>
          <w:szCs w:val="24"/>
        </w:rPr>
        <w:t>-34,99%. Исполнение составило 31 819,</w:t>
      </w:r>
      <w:r w:rsidRPr="00BD658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D658D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>или 89,94 % утвержденных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подразделу 1002 </w:t>
      </w:r>
      <w:r>
        <w:rPr>
          <w:i/>
          <w:sz w:val="24"/>
          <w:szCs w:val="24"/>
        </w:rPr>
        <w:t>«Социальное обслуживание населения»</w:t>
      </w:r>
      <w:r>
        <w:rPr>
          <w:sz w:val="24"/>
          <w:szCs w:val="24"/>
        </w:rPr>
        <w:t>- 34,64%. Исполнение составило   31 498,8 тыс. руб. или 99,94 % утвержденных назначений;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1003</w:t>
      </w:r>
      <w:r>
        <w:rPr>
          <w:i/>
          <w:sz w:val="24"/>
          <w:szCs w:val="24"/>
        </w:rPr>
        <w:t xml:space="preserve"> « Социальное обеспечение населения»</w:t>
      </w:r>
      <w:r>
        <w:rPr>
          <w:sz w:val="24"/>
          <w:szCs w:val="24"/>
        </w:rPr>
        <w:t xml:space="preserve"> - 26,43 %. Исполнение составило    24 036,1 тыс. руб. или 93,43% утвержденных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подразделу 1001</w:t>
      </w:r>
      <w:r>
        <w:rPr>
          <w:i/>
          <w:sz w:val="24"/>
          <w:szCs w:val="24"/>
        </w:rPr>
        <w:t xml:space="preserve"> «Пенсионное обеспечение» </w:t>
      </w:r>
      <w:r>
        <w:rPr>
          <w:sz w:val="24"/>
          <w:szCs w:val="24"/>
        </w:rPr>
        <w:t>исполнение составило 3591,1 тыс. руб. или 100% утвержденных назначений. Расходы по данному подразделу являются публичными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мативными обязательствами согласно ст. 6.5.  решения Совета Сортавальского муниципального района от 06.12.2012 года №285 «О бюджете Сортавальского муниципального района на 2013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 2014 и 2015 годов».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BD658D">
        <w:rPr>
          <w:b/>
          <w:sz w:val="24"/>
          <w:szCs w:val="24"/>
        </w:rPr>
        <w:t>1100</w:t>
      </w:r>
      <w:r>
        <w:rPr>
          <w:b/>
          <w:sz w:val="24"/>
          <w:szCs w:val="24"/>
        </w:rPr>
        <w:t xml:space="preserve"> «Физическая культура и спорт»</w:t>
      </w:r>
      <w:r>
        <w:rPr>
          <w:sz w:val="24"/>
          <w:szCs w:val="24"/>
        </w:rPr>
        <w:t xml:space="preserve"> составили в 2013 году 4 668,4 тыс. руб. или 68,3%. Доля расходов по данному разделу в общем объеме расходов бюджета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ла 0,7%. Весь объем расходов в данном разделе приходится на подраздел  1102 </w:t>
      </w:r>
      <w:r>
        <w:rPr>
          <w:i/>
          <w:sz w:val="24"/>
          <w:szCs w:val="24"/>
        </w:rPr>
        <w:t>« Массовый спорт»</w:t>
      </w:r>
      <w:r>
        <w:rPr>
          <w:sz w:val="24"/>
          <w:szCs w:val="24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>
        <w:rPr>
          <w:b/>
          <w:sz w:val="24"/>
          <w:szCs w:val="24"/>
        </w:rPr>
        <w:t>1200 «Средства массовой информации»</w:t>
      </w:r>
      <w:r>
        <w:rPr>
          <w:sz w:val="24"/>
          <w:szCs w:val="24"/>
        </w:rPr>
        <w:t xml:space="preserve"> составили в 2013 году 434,0 тыс. руб. или  100% плановых назначений. Доля расходов по данному разделу в общем объеме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ходов бюджета составила 0,06%. Весь объем расходов в данном разделе приходится на подра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 1202 </w:t>
      </w:r>
      <w:r>
        <w:rPr>
          <w:i/>
          <w:sz w:val="24"/>
          <w:szCs w:val="24"/>
        </w:rPr>
        <w:t>«Периодическая печать и издательства»</w:t>
      </w:r>
      <w:r>
        <w:rPr>
          <w:sz w:val="24"/>
          <w:szCs w:val="24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по разделу </w:t>
      </w:r>
      <w:r>
        <w:rPr>
          <w:b/>
          <w:sz w:val="24"/>
          <w:szCs w:val="24"/>
        </w:rPr>
        <w:t>1300 «Обслуживание государственного и муниципального долга»</w:t>
      </w:r>
      <w:r>
        <w:rPr>
          <w:sz w:val="24"/>
          <w:szCs w:val="24"/>
        </w:rPr>
        <w:t xml:space="preserve"> в 2013году исполнены в сумме 3 520,9 тыс. руб. и составили 95,16% утвержденного плана. Доля этого раздела в общей сумме расходов бюджета в 2013 году составила 0,52%.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по разделу </w:t>
      </w:r>
      <w:r>
        <w:rPr>
          <w:b/>
          <w:sz w:val="24"/>
          <w:szCs w:val="24"/>
        </w:rPr>
        <w:t>1400 «Межбюджетные трансферты общего характера бюджетам суб</w:t>
      </w:r>
      <w:r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>ектов РФ и муниципальных образований»</w:t>
      </w:r>
      <w:r>
        <w:rPr>
          <w:sz w:val="24"/>
          <w:szCs w:val="24"/>
        </w:rPr>
        <w:t xml:space="preserve"> в 2013 году исполнены в сумме 19 196,1 тыс. руб. или 100% утвержденных назначений. Доля этого раздела в общем объеме расходов бюджета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ставила 2,82%.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по всем разделам функциональной классификации расходов бюджета,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жденные бюджетные назначения не исполнены на 36 503,4 тыс. руб.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Дефицит бюджета Сортавальского муниципального района и источники его финансиров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2013г. бюджет Сортавальского муниципального района был исполнен с дефицитом.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 бюджета исполнены в сумме 681 280,9 тыс. руб. и превышают фактически полученные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ходы в сумме 664 680,4 тыс. руб. на сумму 16 600,5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Размер дефицита бюджета Сорт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вальского муниципального района, сложившейся по итогам отчетного года, соответствует предел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значениям, установленным пунктом 3 статьи 92.1 Бюджетного кодекса РФ.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качестве источников внутреннего финансирования дефицита бюджета был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влечен бюджетный кредит Министерства финансов Республики Карелия и кредиты, полученные от кредитной организации ОАО «Сбербанк России». Общая сумма полученных кредитов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43 350,0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Погашение кредитов, по которым подошел срок возврата, было 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нено на сумму 38 090, 7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Также в 2013 году были возвращены в бюджет Сортавальского муниципального района из бюджетов поселений ранее предоставленные кредиты на сумму 2 500,0 тыс. руб. (Сортавальское городское поселение – 2 300,0 тыс. руб., </w:t>
      </w:r>
      <w:proofErr w:type="spellStart"/>
      <w:r>
        <w:rPr>
          <w:sz w:val="24"/>
          <w:szCs w:val="24"/>
        </w:rPr>
        <w:t>Хелюльское</w:t>
      </w:r>
      <w:proofErr w:type="spellEnd"/>
      <w:r>
        <w:rPr>
          <w:sz w:val="24"/>
          <w:szCs w:val="24"/>
        </w:rPr>
        <w:t xml:space="preserve"> городское поселение – 200,0 тыс. руб.). Были возвращены в бюджет Сортавальского муниципального района в сумме 31,0 тыс. руб. бюджетные кредиты, ранее предоставленные физическим лицам. Предоставлен бюджету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из бюджета Сортавальского муниципального района кредит на сумму  250,0 тыс. руб.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Статьей 1 решения Совета Сортавальского муниципального района от 06.12.2012г. №285 « О бюджете Сортавальского муниципального района на 2013 год и на плановый период 2014 и 2015 годов» с изменениями и дополнениями, утвержденными решением Совета Сортавальск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от 30.04.2013г. №315 «О внесении изменений и дополнений в решение Совета Сортавальского муниципального района №285 от 06.12.12г. «О бюджете Сортавальского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района на 2013 год и плановый период 2014-2015 годов»  и решением Совета Сортавальского муниципального района от 11.12.2013г. №16 «О внесении изменений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нений в решение Совета Сортавальского муниципального района от 06.12.12 года №285 «О бюджете Сортавальского муниципального района на 2013 год и плановый период 2014-2015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дов» установлен верхний предел муниципального долга Сортавальского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на 01 января 2014 года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 валюте РФ в сумме 75143,1 тыс. руб., в том числе верхний предел по муниципальным гарантиям Сортавальского муниципального района в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люте РФ в сумме 0,0 тыс. руб. Пунктом 2 статьи 14 того же Решения Совета Сортавальского муниципального района установлен предельный объем муниципального долга Сортавальского муниципального района на 2013 год в объеме 120 383,7 тыс. руб.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Частью 3 статьи 107 Бюджетного кодекса РФ установлено, что предельный объем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Согласно «Отчета об исполнении бюджета Сортавальского муниципального района за 2013 год» годовой объем доходов районного бюджета без учета утвержденного объема безвозмез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поступлений составил 307 150,8 тыс. руб., т.е. утвержденный предельный объем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долга на 2013 год  соответствует ч.3 ст.107 Бюджетного кодекса РФ.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данным предоставленной отчетности и данным Муниципальной долговой книги Сорт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вальского муниципального района по состоянию на 01.01.2014г. превышение установленного предельного объема муниципального долга Сортавальского муниципального района в отчетном периоде </w:t>
      </w:r>
      <w:r w:rsidRPr="00887B92">
        <w:rPr>
          <w:b/>
          <w:sz w:val="24"/>
          <w:szCs w:val="24"/>
        </w:rPr>
        <w:t>не обнаружено</w:t>
      </w:r>
      <w:r>
        <w:rPr>
          <w:sz w:val="24"/>
          <w:szCs w:val="24"/>
        </w:rPr>
        <w:t xml:space="preserve">.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 данным Муниципальной долговой книги Сортавальского муниципального района по сост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янию на 01 января 2014г. остаток долгового обязательства на 01.01.2014г. составил 65 143,0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30 143,0 тыс. руб. – долговые обязательства по бюджетным кредитам, привлеченным в местный бюджет от других бюджетов Российской Федерации, 35 000,0 тыс. руб. – долговые обязательства по кредитам, полученным от кредитных организаций   и 0,0 тыс. руб. -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пальные гарантии), или 86,69 % от утвержденного верхнего предела муниципального внутре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него долга Сортавальского муниципального района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Таким образом, сумма сложившегося муниципального внутреннего долга Сортавальского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по состоянию на 01.01.2014 года по долговым обязательствам не прев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сила верхний предел муниципального внутреннего долга, установленный статьей 1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бюджете Сортавальского муниципального района на 2013 год.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Следует отметить, что сумма сложившегося муниципального долга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по состоянию на 01.01.2014г. увеличился  на 5 259,4 тыс. руб. по сравнению с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четными данными по состоянию на 01.01.2013г.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состоянию на 01.01.2014 года задолженность по кредитам кредитных организаций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ОАО « Сбербанк России) составила 35 000,0 тыс. руб., т.е. увеличилась на 10 333,3 тыс. руб. или на 41,9 % (на 01.01.2013г.-24 666,7 тыс. руб.).  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Задолженность на 01.01.2014г. по бюджетным кредитам, привлеченным от других бюджетов бюджетной системы Р</w:t>
      </w:r>
      <w:proofErr w:type="gramStart"/>
      <w:r>
        <w:rPr>
          <w:sz w:val="24"/>
          <w:szCs w:val="24"/>
        </w:rPr>
        <w:t>Ф(</w:t>
      </w:r>
      <w:proofErr w:type="gramEnd"/>
      <w:r>
        <w:rPr>
          <w:sz w:val="24"/>
          <w:szCs w:val="24"/>
        </w:rPr>
        <w:t xml:space="preserve"> Министерство финансов Республики Карелия) составила 30 143,0 тыс. руб., т.е. сн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зилась на  5 174 тыс. руб. или на 14,65% (на 01.01.2013г. – 35 317,0 тыс. руб.).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бюджета Сортавальского муниципального района на обслуживание муниципального долга составили 3 520,9 тыс. руб. или 95,16 % от утвержденных бюджетных назначений (3 700,0 тыс. руб.)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Расходы на обслуживание муниципального долга не превышают предельные размеры,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ст. 111 Бюджетного кодекса РФ, а также предельный объем  расходов на обслужив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муниципального долга Сортавальского муниципального района на 2013 год в сумме 3700,0 тыс. руб., утвержденный п.3 ст.14 Решения Совета Сортавальского муниципального района от 06.12.2012г. №285 «О бюджете Сортавальского муниципального района на 2013 год и плановый период</w:t>
      </w:r>
      <w:proofErr w:type="gramEnd"/>
      <w:r>
        <w:rPr>
          <w:sz w:val="24"/>
          <w:szCs w:val="24"/>
        </w:rPr>
        <w:t xml:space="preserve"> 2014-2015годов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с изменениями и дополнениями.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Следует обратить внимание на то, что общая сумма кредиторской задолженности главных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порядителей бюджетных средств по состоянию на 01.01.2014года составила 17 836,7 тыс. руб., в том числе просроченная 13 726,6 тыс. руб. и увеличилась по сравнению с началом года на 6848,4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01.01.2013г.-10988,3 тыс. руб.), в том числе просроченная кредиторская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долженность увеличилась на 6636,7 тыс. руб.(на 01.01.2013г.-7089,9 тыс. руб.)</w:t>
      </w:r>
    </w:p>
    <w:p w:rsidR="0099694C" w:rsidRDefault="0099694C" w:rsidP="0099694C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фондов.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со статьей 81 Бюджетного кодекса РФ и статьей 8 решения Совета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от 06.12.2012г. №285 « О бюджете Сортавальского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на 2013 год и на плановый период 2014 и 2015 годов» установлен размер резервн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фонда Администрации Сортавальского муниципального района на 2013 год в размере 400,0 тыс. руб., что составляет 0,06 % от общего объема утвержденных бюджетных</w:t>
      </w:r>
      <w:proofErr w:type="gramEnd"/>
      <w:r>
        <w:rPr>
          <w:sz w:val="24"/>
          <w:szCs w:val="24"/>
        </w:rPr>
        <w:t xml:space="preserve"> назначений.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Отчета об использовании средств Резервного фонда администрации Сортавальского муниципального района за 2013 год по состоянию на 01.01.2014г. из </w:t>
      </w:r>
      <w:r>
        <w:rPr>
          <w:sz w:val="24"/>
          <w:szCs w:val="24"/>
        </w:rPr>
        <w:lastRenderedPageBreak/>
        <w:t>Резервного фонда на непредвиденные расходы выделено 184,2 тыс. 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исполнено 184,2 тыс. руб.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Использование бюджетных ассигнований резервного фонда на непредвиденные расходы по состоянию на 01.01.2014 года сложилось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материальная помощь погорельцам – 10,0 тыс. руб.;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программных продуктов для автоматизации объектов мобилизационной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товки и антивирусной защиты – 13,0 тыс. руб.;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защита информации – 73,8 тыс. руб.;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похорон почетного гражданина Республики Карелия Гоголева К. А. – 37,4 тыс. руб.;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праздника, посвященного Дню острова </w:t>
      </w:r>
      <w:proofErr w:type="spellStart"/>
      <w:r>
        <w:rPr>
          <w:sz w:val="24"/>
          <w:szCs w:val="24"/>
        </w:rPr>
        <w:t>Риеккалансари</w:t>
      </w:r>
      <w:proofErr w:type="spellEnd"/>
      <w:r>
        <w:rPr>
          <w:sz w:val="24"/>
          <w:szCs w:val="24"/>
        </w:rPr>
        <w:t xml:space="preserve"> – 50,0 тыс. руб.</w:t>
      </w:r>
    </w:p>
    <w:p w:rsidR="0099694C" w:rsidRDefault="0099694C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Исполнение программной части бюджета.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 уточненным бюджетом Сортавальского муниципального района на 2013 год, с учетом особенностей установленных ст.217 Бюджетного кодекса РФ общий объем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ассигнований на реализацию ведомственных целевых программ и инвестиционных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Сортавальского муниципального района утвержден в сумме 38986,1 тыс. руб., что составляет 5,43 % от утвержденных бюджетных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(717 784,3 тыс. руб.).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Исполнение ведомственных целевых и инвестиционных программ было проанализировано на основании данных отчета об исполнении бюджета Сортавальского муниципального района за 2013 год. 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результатам анализа были получены следующие данные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86"/>
        <w:gridCol w:w="2061"/>
        <w:gridCol w:w="1893"/>
        <w:gridCol w:w="1889"/>
      </w:tblGrid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 xml:space="preserve">№ </w:t>
            </w:r>
            <w:proofErr w:type="gramStart"/>
            <w:r w:rsidRPr="00DD50E3">
              <w:rPr>
                <w:sz w:val="24"/>
                <w:szCs w:val="24"/>
              </w:rPr>
              <w:t>п</w:t>
            </w:r>
            <w:proofErr w:type="gramEnd"/>
            <w:r w:rsidRPr="00DD50E3">
              <w:rPr>
                <w:sz w:val="24"/>
                <w:szCs w:val="24"/>
              </w:rPr>
              <w:t>/п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Уточненный план 2013года по р</w:t>
            </w:r>
            <w:r w:rsidRPr="00DD50E3">
              <w:rPr>
                <w:sz w:val="24"/>
                <w:szCs w:val="24"/>
              </w:rPr>
              <w:t>е</w:t>
            </w:r>
            <w:r w:rsidRPr="00DD50E3">
              <w:rPr>
                <w:sz w:val="24"/>
                <w:szCs w:val="24"/>
              </w:rPr>
              <w:t>шению Совета Сортавальского муниципального района (тыс. руб.</w:t>
            </w:r>
            <w:proofErr w:type="gramStart"/>
            <w:r w:rsidRPr="00DD50E3">
              <w:rPr>
                <w:sz w:val="24"/>
                <w:szCs w:val="24"/>
              </w:rPr>
              <w:t>)с</w:t>
            </w:r>
            <w:proofErr w:type="gramEnd"/>
            <w:r w:rsidRPr="00DD50E3">
              <w:rPr>
                <w:sz w:val="24"/>
                <w:szCs w:val="24"/>
              </w:rPr>
              <w:t xml:space="preserve"> учетом особенностей предусмотренных ст.217 БК РФ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Исполнено в 2013 году на о</w:t>
            </w:r>
            <w:r w:rsidRPr="00DD50E3">
              <w:rPr>
                <w:sz w:val="24"/>
                <w:szCs w:val="24"/>
              </w:rPr>
              <w:t>с</w:t>
            </w:r>
            <w:r w:rsidRPr="00DD50E3">
              <w:rPr>
                <w:sz w:val="24"/>
                <w:szCs w:val="24"/>
              </w:rPr>
              <w:t>новании отчета об и</w:t>
            </w:r>
            <w:r w:rsidRPr="00DD50E3">
              <w:rPr>
                <w:sz w:val="24"/>
                <w:szCs w:val="24"/>
              </w:rPr>
              <w:t>с</w:t>
            </w:r>
            <w:r w:rsidRPr="00DD50E3">
              <w:rPr>
                <w:sz w:val="24"/>
                <w:szCs w:val="24"/>
              </w:rPr>
              <w:t>полнении бюджета (тыс. руб.)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Процент испо</w:t>
            </w:r>
            <w:r w:rsidRPr="00DD50E3">
              <w:rPr>
                <w:sz w:val="24"/>
                <w:szCs w:val="24"/>
              </w:rPr>
              <w:t>л</w:t>
            </w:r>
            <w:r w:rsidRPr="00DD50E3">
              <w:rPr>
                <w:sz w:val="24"/>
                <w:szCs w:val="24"/>
              </w:rPr>
              <w:t>нения к плану</w:t>
            </w:r>
            <w:proofErr w:type="gramStart"/>
            <w:r w:rsidRPr="00DD50E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ГРБС – Администрация Сортавальского муниц</w:t>
            </w:r>
            <w:r w:rsidRPr="00DD50E3">
              <w:rPr>
                <w:b/>
                <w:sz w:val="24"/>
                <w:szCs w:val="24"/>
              </w:rPr>
              <w:t>и</w:t>
            </w:r>
            <w:r w:rsidRPr="00DD50E3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 xml:space="preserve">на на период с 2011 по 2015 год 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252,0</w:t>
            </w:r>
          </w:p>
        </w:tc>
        <w:tc>
          <w:tcPr>
            <w:tcW w:w="2038" w:type="dxa"/>
            <w:shd w:val="clear" w:color="auto" w:fill="auto"/>
          </w:tcPr>
          <w:p w:rsidR="0099694C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Ведомственная целевая пр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грамма «Ремонт лестничной клетки административного зд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 xml:space="preserve">ния по адресу: г. Сортавала ул. Кирова д.11 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655,4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655,4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Приобретение объектов нез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вершенного строительства пр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стройки к зданию роддома общей площадью 2111,4 </w:t>
            </w:r>
            <w:proofErr w:type="spellStart"/>
            <w:r w:rsidRPr="00DD50E3">
              <w:rPr>
                <w:sz w:val="16"/>
                <w:szCs w:val="16"/>
              </w:rPr>
              <w:t>кв.м</w:t>
            </w:r>
            <w:proofErr w:type="spellEnd"/>
            <w:r w:rsidRPr="00DD50E3">
              <w:rPr>
                <w:sz w:val="16"/>
                <w:szCs w:val="16"/>
              </w:rPr>
              <w:t>., расположе</w:t>
            </w:r>
            <w:r w:rsidRPr="00DD50E3">
              <w:rPr>
                <w:sz w:val="16"/>
                <w:szCs w:val="16"/>
              </w:rPr>
              <w:t>н</w:t>
            </w:r>
            <w:r w:rsidRPr="00DD50E3">
              <w:rPr>
                <w:sz w:val="16"/>
                <w:szCs w:val="16"/>
              </w:rPr>
              <w:t>ного по адресу г. Сортавала, ул. Маяковского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1500,0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Защита населения и территории Сортавал</w:t>
            </w:r>
            <w:r w:rsidRPr="00DD50E3">
              <w:rPr>
                <w:sz w:val="16"/>
                <w:szCs w:val="16"/>
              </w:rPr>
              <w:t>ь</w:t>
            </w:r>
            <w:r w:rsidRPr="00DD50E3">
              <w:rPr>
                <w:sz w:val="16"/>
                <w:szCs w:val="16"/>
              </w:rPr>
              <w:t>ского муниципального района от чрезвычайных ситу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ций природного и техногенного характера, гражданская оборона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383,2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Содержание дорог местного значения вне границ населенных пунктов в границах Со</w:t>
            </w:r>
            <w:r w:rsidRPr="00DD50E3">
              <w:rPr>
                <w:sz w:val="16"/>
                <w:szCs w:val="16"/>
              </w:rPr>
              <w:t>р</w:t>
            </w:r>
            <w:r w:rsidRPr="00DD50E3">
              <w:rPr>
                <w:sz w:val="16"/>
                <w:szCs w:val="16"/>
              </w:rPr>
              <w:t xml:space="preserve">тавальского муниципального района </w:t>
            </w:r>
            <w:r w:rsidRPr="00DD50E3">
              <w:rPr>
                <w:sz w:val="16"/>
                <w:szCs w:val="16"/>
              </w:rPr>
              <w:lastRenderedPageBreak/>
              <w:t xml:space="preserve">а/д </w:t>
            </w:r>
            <w:proofErr w:type="spellStart"/>
            <w:r w:rsidRPr="00DD50E3">
              <w:rPr>
                <w:sz w:val="16"/>
                <w:szCs w:val="16"/>
              </w:rPr>
              <w:t>Ра</w:t>
            </w:r>
            <w:r w:rsidRPr="00DD50E3">
              <w:rPr>
                <w:sz w:val="16"/>
                <w:szCs w:val="16"/>
              </w:rPr>
              <w:t>н</w:t>
            </w:r>
            <w:r w:rsidRPr="00DD50E3">
              <w:rPr>
                <w:sz w:val="16"/>
                <w:szCs w:val="16"/>
              </w:rPr>
              <w:t>ту</w:t>
            </w:r>
            <w:proofErr w:type="gramStart"/>
            <w:r w:rsidRPr="00DD50E3">
              <w:rPr>
                <w:sz w:val="16"/>
                <w:szCs w:val="16"/>
              </w:rPr>
              <w:t>э</w:t>
            </w:r>
            <w:proofErr w:type="spellEnd"/>
            <w:r w:rsidRPr="00DD50E3">
              <w:rPr>
                <w:sz w:val="16"/>
                <w:szCs w:val="16"/>
              </w:rPr>
              <w:t>-</w:t>
            </w:r>
            <w:proofErr w:type="gramEnd"/>
            <w:r w:rsidRPr="00DD50E3">
              <w:rPr>
                <w:sz w:val="16"/>
                <w:szCs w:val="16"/>
              </w:rPr>
              <w:t xml:space="preserve"> примыкание на отметке 5,8 км. автодор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 xml:space="preserve">ги пос. </w:t>
            </w:r>
            <w:proofErr w:type="spellStart"/>
            <w:r w:rsidRPr="00DD50E3">
              <w:rPr>
                <w:sz w:val="16"/>
                <w:szCs w:val="16"/>
              </w:rPr>
              <w:t>Ниэмилянхови</w:t>
            </w:r>
            <w:proofErr w:type="spellEnd"/>
            <w:r w:rsidRPr="00DD50E3">
              <w:rPr>
                <w:sz w:val="16"/>
                <w:szCs w:val="16"/>
              </w:rPr>
              <w:t xml:space="preserve"> – примыкание на о</w:t>
            </w:r>
            <w:r w:rsidRPr="00DD50E3">
              <w:rPr>
                <w:sz w:val="16"/>
                <w:szCs w:val="16"/>
              </w:rPr>
              <w:t>т</w:t>
            </w:r>
            <w:r w:rsidRPr="00DD50E3">
              <w:rPr>
                <w:sz w:val="16"/>
                <w:szCs w:val="16"/>
              </w:rPr>
              <w:t xml:space="preserve">метке 249 км. автодороги Санкт-Петербург –Петрозаводск через Сортавала на 2013 год 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lastRenderedPageBreak/>
              <w:t>1861,9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82,21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Паспортизация автомобильных дорог местн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го значения вне границ населенных пунктов в границах Сортавальского мун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ципального района 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269,6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Развитие малого и среднего предпринимательства в Сорт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вальском муниципальном районе на 2012-2014 годы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120,0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8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Молодежь Сортавальского м</w:t>
            </w:r>
            <w:r w:rsidRPr="00DD50E3">
              <w:rPr>
                <w:sz w:val="16"/>
                <w:szCs w:val="16"/>
              </w:rPr>
              <w:t>у</w:t>
            </w:r>
            <w:r w:rsidRPr="00DD50E3">
              <w:rPr>
                <w:sz w:val="16"/>
                <w:szCs w:val="16"/>
              </w:rPr>
              <w:t>ниципального района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94,67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9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Создание условий для оказания медицинской помощи населению в Сортавальском мун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ципальном районе ГБУЗ РК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289,8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10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Адресная социальная помощь на 2013-2015 годы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170,0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ГРБС-Районный комитет образов</w:t>
            </w:r>
            <w:r w:rsidRPr="00DD50E3">
              <w:rPr>
                <w:b/>
                <w:sz w:val="24"/>
                <w:szCs w:val="24"/>
              </w:rPr>
              <w:t>а</w:t>
            </w:r>
            <w:r w:rsidRPr="00DD50E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11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Развитие дошкольного образования 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пального района на 2011-2013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579,7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94,74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12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Обеспечение пожарной безопасности образ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вательных учреждений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пального района на 2013-2015г.г.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620,8</w:t>
            </w:r>
          </w:p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99,02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13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Подготовка и поддержка педагогов дошкол</w:t>
            </w:r>
            <w:r w:rsidRPr="00DD50E3">
              <w:rPr>
                <w:sz w:val="16"/>
                <w:szCs w:val="16"/>
              </w:rPr>
              <w:t>ь</w:t>
            </w:r>
            <w:r w:rsidRPr="00DD50E3">
              <w:rPr>
                <w:sz w:val="16"/>
                <w:szCs w:val="16"/>
              </w:rPr>
              <w:t>ного образования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пального района, успешно обучающихся в высших учебных заведениях на 2012-2014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14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и осуществление ремонтных работ в образовательных учреждениях Сорт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вальского муниципального ра</w:t>
            </w:r>
            <w:r w:rsidRPr="00DD50E3">
              <w:rPr>
                <w:sz w:val="16"/>
                <w:szCs w:val="16"/>
              </w:rPr>
              <w:t>й</w:t>
            </w:r>
            <w:r w:rsidRPr="00DD50E3">
              <w:rPr>
                <w:sz w:val="16"/>
                <w:szCs w:val="16"/>
              </w:rPr>
              <w:t>она на 2011-2013 годы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2288,5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1906,4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15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 xml:space="preserve">на на период с 2011 по 2015 год 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927,9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16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Развитие сети дошкольных обр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зовательных учреждений на территории Сортавальского муниципального района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388,0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91,03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17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Обеспечение пожарной безопасности образ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вательных учреждений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пального района на 2013-2015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734,0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18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Подготовка и поддержка педагогов дошкол</w:t>
            </w:r>
            <w:r w:rsidRPr="00DD50E3">
              <w:rPr>
                <w:sz w:val="16"/>
                <w:szCs w:val="16"/>
              </w:rPr>
              <w:t>ь</w:t>
            </w:r>
            <w:r w:rsidRPr="00DD50E3">
              <w:rPr>
                <w:sz w:val="16"/>
                <w:szCs w:val="16"/>
              </w:rPr>
              <w:t>ного образования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пального района, успешно обучающихся в высших учебных заведениях на 2012-2014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19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и осуществление ремонтных работ в образовательных учреждениях Сорт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вальского муниципального ра</w:t>
            </w:r>
            <w:r w:rsidRPr="00DD50E3">
              <w:rPr>
                <w:sz w:val="16"/>
                <w:szCs w:val="16"/>
              </w:rPr>
              <w:t>й</w:t>
            </w:r>
            <w:r w:rsidRPr="00DD50E3">
              <w:rPr>
                <w:sz w:val="16"/>
                <w:szCs w:val="16"/>
              </w:rPr>
              <w:t>она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1015,6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36,98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20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Обеспечение бесплатным пит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нием учащихся общеобразов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тельных школ из малоимущих семей и учащихся, являющихся детьми-инвалидами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3471,5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87,16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21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Трудовая адаптация несове</w:t>
            </w:r>
            <w:r w:rsidRPr="00DD50E3">
              <w:rPr>
                <w:sz w:val="16"/>
                <w:szCs w:val="16"/>
              </w:rPr>
              <w:t>р</w:t>
            </w:r>
            <w:r w:rsidRPr="00DD50E3">
              <w:rPr>
                <w:sz w:val="16"/>
                <w:szCs w:val="16"/>
              </w:rPr>
              <w:t>шеннолетних граждан в возрасте от 14 до 18 лет в период летних каникул в Сортавальском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пальном районе в 2013 году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143,1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22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Повышение уровня антитерр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 xml:space="preserve">ристической защищенности образовательных учреждений Сортавальского муниципального района на 2012-2014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1691,5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на на период с 2011 по 2015 год.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3065,7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84,62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24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Модернизация системы общего образования Сортавальский муниципальный район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25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отдыха детей в каникулярное время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189,7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26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Осуществление дополнительных денежных выплат к заработной плате педагогическим работникам муниципальных образов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тельных учреждений дополн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тельного образования Сортавальского муниципального ра</w:t>
            </w:r>
            <w:r w:rsidRPr="00DD50E3">
              <w:rPr>
                <w:sz w:val="16"/>
                <w:szCs w:val="16"/>
              </w:rPr>
              <w:t>й</w:t>
            </w:r>
            <w:r w:rsidRPr="00DD50E3">
              <w:rPr>
                <w:sz w:val="16"/>
                <w:szCs w:val="16"/>
              </w:rPr>
              <w:t>она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351,9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50,61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27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Повышение уровня материально-технической оснащенности обр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 xml:space="preserve">зовательных учреждений, расположенных в </w:t>
            </w:r>
            <w:proofErr w:type="spellStart"/>
            <w:r w:rsidRPr="00DD50E3">
              <w:rPr>
                <w:sz w:val="16"/>
                <w:szCs w:val="16"/>
              </w:rPr>
              <w:t>Кааламском</w:t>
            </w:r>
            <w:proofErr w:type="spellEnd"/>
            <w:r w:rsidRPr="00DD50E3">
              <w:rPr>
                <w:sz w:val="16"/>
                <w:szCs w:val="16"/>
              </w:rPr>
              <w:t xml:space="preserve"> сельском пос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лении в 2013 году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112,0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92,59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28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Развитие фестивального движения в Сортавальском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пальном районе в 2013 году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99,3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29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и осуществление ремонтных работ в образовательных учреждениях Сорт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вальского муниципального ра</w:t>
            </w:r>
            <w:r w:rsidRPr="00DD50E3">
              <w:rPr>
                <w:sz w:val="16"/>
                <w:szCs w:val="16"/>
              </w:rPr>
              <w:t>й</w:t>
            </w:r>
            <w:r w:rsidRPr="00DD50E3">
              <w:rPr>
                <w:sz w:val="16"/>
                <w:szCs w:val="16"/>
              </w:rPr>
              <w:t>она на 2011-2013 годы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891,6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30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на на период с 2011 по 2015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70,4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68,18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31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Подготовка и поддержка педагогов дошкол</w:t>
            </w:r>
            <w:r w:rsidRPr="00DD50E3">
              <w:rPr>
                <w:sz w:val="16"/>
                <w:szCs w:val="16"/>
              </w:rPr>
              <w:t>ь</w:t>
            </w:r>
            <w:r w:rsidRPr="00DD50E3">
              <w:rPr>
                <w:sz w:val="16"/>
                <w:szCs w:val="16"/>
              </w:rPr>
              <w:t>ного образования Сортавальского муниц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пального района, успешно обучающихся в высших учебных заведениях на 2012-2014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24,0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32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 реализации инициатив Главы Сортавал</w:t>
            </w:r>
            <w:r w:rsidRPr="00DD50E3">
              <w:rPr>
                <w:sz w:val="16"/>
                <w:szCs w:val="16"/>
              </w:rPr>
              <w:t>ь</w:t>
            </w:r>
            <w:r w:rsidRPr="00DD50E3">
              <w:rPr>
                <w:sz w:val="16"/>
                <w:szCs w:val="16"/>
              </w:rPr>
              <w:t>ского муниципального района «Поддержка детей инвалидов, детей-сирот и детей, оста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шихся без попечения род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 xml:space="preserve">телей» на 2012-2014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38,2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33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 реализации инициатив Главы админ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страции Сортавальского муниципального района «Социальная поддержка для мал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имущих граждан, имеющих детей в возрасте от полутора до трех лет, не получивших направление на зачисление в образовательное учреждение на 2013 год»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493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77,67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ГРБС-Отдел культуры и спорта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34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на на период с 2011 по 2015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673,1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35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отдыха детей в каникулярное время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174,2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36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Осуществление дополнительных денежных выплат к заработной плате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227,1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95,38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37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на на период с 2011 по 2015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869,3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38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Подготовка проектно-сметной документации для осуществл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 xml:space="preserve">ния ремонтных работ в МКУ «Региональный музей Северного </w:t>
            </w:r>
            <w:proofErr w:type="spellStart"/>
            <w:r w:rsidRPr="00DD50E3">
              <w:rPr>
                <w:sz w:val="16"/>
                <w:szCs w:val="16"/>
              </w:rPr>
              <w:t>Прил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>дожья</w:t>
            </w:r>
            <w:proofErr w:type="spellEnd"/>
            <w:r w:rsidRPr="00DD50E3">
              <w:rPr>
                <w:sz w:val="16"/>
                <w:szCs w:val="16"/>
              </w:rPr>
              <w:t>» на 2013год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88,5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99,44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39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и осуществление ремонтных работ в структурном подразделении МКУ «Сорт</w:t>
            </w:r>
            <w:r w:rsidRPr="00DD50E3">
              <w:rPr>
                <w:sz w:val="16"/>
                <w:szCs w:val="16"/>
              </w:rPr>
              <w:t>а</w:t>
            </w:r>
            <w:r w:rsidRPr="00DD50E3">
              <w:rPr>
                <w:sz w:val="16"/>
                <w:szCs w:val="16"/>
              </w:rPr>
              <w:t xml:space="preserve">вальская </w:t>
            </w:r>
            <w:proofErr w:type="spellStart"/>
            <w:r w:rsidRPr="00DD50E3">
              <w:rPr>
                <w:sz w:val="16"/>
                <w:szCs w:val="16"/>
              </w:rPr>
              <w:lastRenderedPageBreak/>
              <w:t>межпоселенческая</w:t>
            </w:r>
            <w:proofErr w:type="spellEnd"/>
            <w:r w:rsidRPr="00DD50E3">
              <w:rPr>
                <w:sz w:val="16"/>
                <w:szCs w:val="16"/>
              </w:rPr>
              <w:t xml:space="preserve"> районная библиотека» на 2013год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lastRenderedPageBreak/>
              <w:t>64,3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 xml:space="preserve">Комплектование библиотечного фонда МКУ «Сортавальская </w:t>
            </w:r>
            <w:proofErr w:type="spellStart"/>
            <w:r w:rsidRPr="00DD50E3">
              <w:rPr>
                <w:sz w:val="16"/>
                <w:szCs w:val="16"/>
              </w:rPr>
              <w:t>межпоселенческая</w:t>
            </w:r>
            <w:proofErr w:type="spellEnd"/>
            <w:r w:rsidRPr="00DD50E3">
              <w:rPr>
                <w:sz w:val="16"/>
                <w:szCs w:val="16"/>
              </w:rPr>
              <w:t xml:space="preserve"> районная библиотека» на 2013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40,2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41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Муниципальная программа энергосбереж</w:t>
            </w:r>
            <w:r w:rsidRPr="00DD50E3">
              <w:rPr>
                <w:sz w:val="16"/>
                <w:szCs w:val="16"/>
              </w:rPr>
              <w:t>е</w:t>
            </w:r>
            <w:r w:rsidRPr="00DD50E3">
              <w:rPr>
                <w:sz w:val="16"/>
                <w:szCs w:val="16"/>
              </w:rPr>
              <w:t>ния и повышения энергетической эффекти</w:t>
            </w:r>
            <w:r w:rsidRPr="00DD50E3">
              <w:rPr>
                <w:sz w:val="16"/>
                <w:szCs w:val="16"/>
              </w:rPr>
              <w:t>в</w:t>
            </w:r>
            <w:r w:rsidRPr="00DD50E3">
              <w:rPr>
                <w:sz w:val="16"/>
                <w:szCs w:val="16"/>
              </w:rPr>
              <w:t>ности Сортавальского муниципального рай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на на период с 2011 по 2015 год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183,8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42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Организация и проведение спо</w:t>
            </w:r>
            <w:r w:rsidRPr="00DD50E3">
              <w:rPr>
                <w:sz w:val="16"/>
                <w:szCs w:val="16"/>
              </w:rPr>
              <w:t>р</w:t>
            </w:r>
            <w:r w:rsidRPr="00DD50E3">
              <w:rPr>
                <w:sz w:val="16"/>
                <w:szCs w:val="16"/>
              </w:rPr>
              <w:t>тивно-массовых мероприятий Сортавальского м</w:t>
            </w:r>
            <w:r w:rsidRPr="00DD50E3">
              <w:rPr>
                <w:sz w:val="16"/>
                <w:szCs w:val="16"/>
              </w:rPr>
              <w:t>у</w:t>
            </w:r>
            <w:r w:rsidRPr="00DD50E3">
              <w:rPr>
                <w:sz w:val="16"/>
                <w:szCs w:val="16"/>
              </w:rPr>
              <w:t>ниципального района на 2013-2015 годы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335,5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98,12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Инвестиционные програ</w:t>
            </w:r>
            <w:r w:rsidRPr="00DD50E3">
              <w:rPr>
                <w:b/>
                <w:sz w:val="24"/>
                <w:szCs w:val="24"/>
              </w:rPr>
              <w:t>м</w:t>
            </w:r>
            <w:r w:rsidRPr="00DD50E3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ГРБС-Администрация Со</w:t>
            </w:r>
            <w:r w:rsidRPr="00DD50E3">
              <w:rPr>
                <w:b/>
                <w:sz w:val="24"/>
                <w:szCs w:val="24"/>
              </w:rPr>
              <w:t>р</w:t>
            </w:r>
            <w:r w:rsidRPr="00DD50E3">
              <w:rPr>
                <w:b/>
                <w:sz w:val="24"/>
                <w:szCs w:val="24"/>
              </w:rPr>
              <w:t>тавальского муниципального рай</w:t>
            </w:r>
            <w:r w:rsidRPr="00DD50E3">
              <w:rPr>
                <w:b/>
                <w:sz w:val="24"/>
                <w:szCs w:val="24"/>
              </w:rPr>
              <w:t>о</w:t>
            </w:r>
            <w:r w:rsidRPr="00DD50E3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43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По технологическому присоед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нению (плата) вновь создаваем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го объекта капитального стро</w:t>
            </w:r>
            <w:r w:rsidRPr="00DD50E3">
              <w:rPr>
                <w:sz w:val="16"/>
                <w:szCs w:val="16"/>
              </w:rPr>
              <w:t>и</w:t>
            </w:r>
            <w:r w:rsidRPr="00DD50E3">
              <w:rPr>
                <w:sz w:val="16"/>
                <w:szCs w:val="16"/>
              </w:rPr>
              <w:t>тельства «Физкультурно-оздоровительного комплекса» к сетям вод</w:t>
            </w:r>
            <w:r w:rsidRPr="00DD50E3">
              <w:rPr>
                <w:sz w:val="16"/>
                <w:szCs w:val="16"/>
              </w:rPr>
              <w:t>о</w:t>
            </w:r>
            <w:r w:rsidRPr="00DD50E3">
              <w:rPr>
                <w:sz w:val="16"/>
                <w:szCs w:val="16"/>
              </w:rPr>
              <w:t>снабжения и водоо</w:t>
            </w:r>
            <w:r w:rsidRPr="00DD50E3">
              <w:rPr>
                <w:sz w:val="16"/>
                <w:szCs w:val="16"/>
              </w:rPr>
              <w:t>т</w:t>
            </w:r>
            <w:r w:rsidRPr="00DD50E3">
              <w:rPr>
                <w:sz w:val="16"/>
                <w:szCs w:val="16"/>
              </w:rPr>
              <w:t>ведения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6500,0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4339,2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66,76</w:t>
            </w: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>ГРБС-Отдел культуры и спорта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</w:p>
        </w:tc>
      </w:tr>
      <w:tr w:rsidR="0099694C" w:rsidRPr="00DD50E3" w:rsidTr="006E066C">
        <w:tc>
          <w:tcPr>
            <w:tcW w:w="675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44</w:t>
            </w:r>
          </w:p>
        </w:tc>
        <w:tc>
          <w:tcPr>
            <w:tcW w:w="3399" w:type="dxa"/>
            <w:shd w:val="clear" w:color="auto" w:fill="auto"/>
          </w:tcPr>
          <w:p w:rsidR="0099694C" w:rsidRPr="00DD50E3" w:rsidRDefault="0099694C" w:rsidP="006E066C">
            <w:pPr>
              <w:jc w:val="both"/>
              <w:rPr>
                <w:sz w:val="16"/>
                <w:szCs w:val="16"/>
              </w:rPr>
            </w:pPr>
            <w:r w:rsidRPr="00DD50E3">
              <w:rPr>
                <w:sz w:val="16"/>
                <w:szCs w:val="16"/>
              </w:rPr>
              <w:t>Модернизация стадиона г. Сортавала (фу</w:t>
            </w:r>
            <w:r w:rsidRPr="00DD50E3">
              <w:rPr>
                <w:sz w:val="16"/>
                <w:szCs w:val="16"/>
              </w:rPr>
              <w:t>т</w:t>
            </w:r>
            <w:r w:rsidRPr="00DD50E3">
              <w:rPr>
                <w:sz w:val="16"/>
                <w:szCs w:val="16"/>
              </w:rPr>
              <w:t xml:space="preserve">больное поле на 2010-2013 </w:t>
            </w:r>
            <w:proofErr w:type="spellStart"/>
            <w:r w:rsidRPr="00DD50E3">
              <w:rPr>
                <w:sz w:val="16"/>
                <w:szCs w:val="16"/>
              </w:rPr>
              <w:t>г.</w:t>
            </w:r>
            <w:proofErr w:type="gramStart"/>
            <w:r w:rsidRPr="00DD50E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DD50E3">
              <w:rPr>
                <w:sz w:val="16"/>
                <w:szCs w:val="16"/>
              </w:rPr>
              <w:t>.)</w:t>
            </w:r>
          </w:p>
        </w:tc>
        <w:tc>
          <w:tcPr>
            <w:tcW w:w="2037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6105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6098,1</w:t>
            </w:r>
          </w:p>
        </w:tc>
        <w:tc>
          <w:tcPr>
            <w:tcW w:w="2038" w:type="dxa"/>
            <w:shd w:val="clear" w:color="auto" w:fill="auto"/>
          </w:tcPr>
          <w:p w:rsidR="0099694C" w:rsidRPr="00DD50E3" w:rsidRDefault="0099694C" w:rsidP="006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</w:tr>
    </w:tbl>
    <w:p w:rsidR="0099694C" w:rsidRPr="00322228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Pr="00E041CC" w:rsidRDefault="0099694C" w:rsidP="0099694C">
      <w:pPr>
        <w:jc w:val="both"/>
        <w:rPr>
          <w:color w:val="000000"/>
          <w:sz w:val="24"/>
          <w:szCs w:val="24"/>
        </w:rPr>
      </w:pPr>
      <w:r w:rsidRPr="00E041CC">
        <w:rPr>
          <w:color w:val="000000"/>
          <w:sz w:val="24"/>
          <w:szCs w:val="24"/>
        </w:rPr>
        <w:t xml:space="preserve">    Согласно отчету об исполнении бюджета за 2013 год в течение года осуществлялось фина</w:t>
      </w:r>
      <w:r w:rsidRPr="00E041CC">
        <w:rPr>
          <w:color w:val="000000"/>
          <w:sz w:val="24"/>
          <w:szCs w:val="24"/>
        </w:rPr>
        <w:t>н</w:t>
      </w:r>
      <w:r w:rsidRPr="00E041CC">
        <w:rPr>
          <w:color w:val="000000"/>
          <w:sz w:val="24"/>
          <w:szCs w:val="24"/>
        </w:rPr>
        <w:t xml:space="preserve">сирование расходов на  реализацию 29 ведомственных целевых и 2 инвестиционных программ. </w:t>
      </w:r>
    </w:p>
    <w:p w:rsidR="0099694C" w:rsidRPr="00E041CC" w:rsidRDefault="0099694C" w:rsidP="0099694C">
      <w:pPr>
        <w:jc w:val="both"/>
        <w:rPr>
          <w:color w:val="000000"/>
          <w:sz w:val="24"/>
          <w:szCs w:val="24"/>
        </w:rPr>
      </w:pPr>
      <w:r w:rsidRPr="00E041CC">
        <w:rPr>
          <w:color w:val="000000"/>
          <w:sz w:val="24"/>
          <w:szCs w:val="24"/>
        </w:rPr>
        <w:t xml:space="preserve">  В объеме 100 % утвержденных бюджетных назначений в 2013году </w:t>
      </w:r>
      <w:proofErr w:type="gramStart"/>
      <w:r w:rsidRPr="00E041CC">
        <w:rPr>
          <w:color w:val="000000"/>
          <w:sz w:val="24"/>
          <w:szCs w:val="24"/>
        </w:rPr>
        <w:t>профинансированы</w:t>
      </w:r>
      <w:proofErr w:type="gramEnd"/>
      <w:r w:rsidRPr="00E041CC">
        <w:rPr>
          <w:color w:val="000000"/>
          <w:sz w:val="24"/>
          <w:szCs w:val="24"/>
        </w:rPr>
        <w:t xml:space="preserve"> 12 в</w:t>
      </w:r>
      <w:r w:rsidRPr="00E041CC">
        <w:rPr>
          <w:color w:val="000000"/>
          <w:sz w:val="24"/>
          <w:szCs w:val="24"/>
        </w:rPr>
        <w:t>е</w:t>
      </w:r>
      <w:r w:rsidRPr="00E041CC">
        <w:rPr>
          <w:color w:val="000000"/>
          <w:sz w:val="24"/>
          <w:szCs w:val="24"/>
        </w:rPr>
        <w:t xml:space="preserve">домственных целевых программ. Более 90% от утвержденных бюджетных назначений </w:t>
      </w:r>
      <w:proofErr w:type="gramStart"/>
      <w:r w:rsidRPr="00E041CC">
        <w:rPr>
          <w:color w:val="000000"/>
          <w:sz w:val="24"/>
          <w:szCs w:val="24"/>
        </w:rPr>
        <w:t>исполн</w:t>
      </w:r>
      <w:r w:rsidRPr="00E041CC">
        <w:rPr>
          <w:color w:val="000000"/>
          <w:sz w:val="24"/>
          <w:szCs w:val="24"/>
        </w:rPr>
        <w:t>е</w:t>
      </w:r>
      <w:r w:rsidRPr="00E041CC">
        <w:rPr>
          <w:color w:val="000000"/>
          <w:sz w:val="24"/>
          <w:szCs w:val="24"/>
        </w:rPr>
        <w:t>ны</w:t>
      </w:r>
      <w:proofErr w:type="gramEnd"/>
      <w:r w:rsidRPr="00E041CC">
        <w:rPr>
          <w:color w:val="000000"/>
          <w:sz w:val="24"/>
          <w:szCs w:val="24"/>
        </w:rPr>
        <w:t xml:space="preserve"> 8 ведомственных целевых программ и 1 инвестиционная программа. </w:t>
      </w:r>
      <w:proofErr w:type="gramStart"/>
      <w:r w:rsidRPr="00E041CC">
        <w:rPr>
          <w:color w:val="000000"/>
          <w:sz w:val="24"/>
          <w:szCs w:val="24"/>
        </w:rPr>
        <w:t>Не в полном объеме и</w:t>
      </w:r>
      <w:r w:rsidRPr="00E041CC">
        <w:rPr>
          <w:color w:val="000000"/>
          <w:sz w:val="24"/>
          <w:szCs w:val="24"/>
        </w:rPr>
        <w:t>с</w:t>
      </w:r>
      <w:r w:rsidRPr="00E041CC">
        <w:rPr>
          <w:color w:val="000000"/>
          <w:sz w:val="24"/>
          <w:szCs w:val="24"/>
        </w:rPr>
        <w:t>полнены бюджетные назначения по 9 ведомственным целевым и 1 по инвестиционной пр</w:t>
      </w:r>
      <w:r w:rsidRPr="00E041CC">
        <w:rPr>
          <w:color w:val="000000"/>
          <w:sz w:val="24"/>
          <w:szCs w:val="24"/>
        </w:rPr>
        <w:t>о</w:t>
      </w:r>
      <w:r w:rsidRPr="00E041CC">
        <w:rPr>
          <w:color w:val="000000"/>
          <w:sz w:val="24"/>
          <w:szCs w:val="24"/>
        </w:rPr>
        <w:t xml:space="preserve">граммам.(9 программ от 50 до 89 процентов и 1 программы – менее 50 %). </w:t>
      </w:r>
      <w:proofErr w:type="gramEnd"/>
    </w:p>
    <w:p w:rsidR="0099694C" w:rsidRPr="00E041CC" w:rsidRDefault="0099694C" w:rsidP="0099694C">
      <w:pPr>
        <w:jc w:val="both"/>
        <w:rPr>
          <w:color w:val="000000"/>
          <w:sz w:val="24"/>
          <w:szCs w:val="24"/>
        </w:rPr>
      </w:pPr>
      <w:r w:rsidRPr="00E041CC">
        <w:rPr>
          <w:color w:val="000000"/>
          <w:sz w:val="24"/>
          <w:szCs w:val="24"/>
        </w:rPr>
        <w:t xml:space="preserve"> Исполнение </w:t>
      </w:r>
      <w:proofErr w:type="gramStart"/>
      <w:r w:rsidRPr="00E041CC">
        <w:rPr>
          <w:color w:val="000000"/>
          <w:sz w:val="24"/>
          <w:szCs w:val="24"/>
        </w:rPr>
        <w:t>в целом по целевым программам в соответствии с данными отчета об исполнении</w:t>
      </w:r>
      <w:proofErr w:type="gramEnd"/>
      <w:r w:rsidRPr="00E041CC">
        <w:rPr>
          <w:color w:val="000000"/>
          <w:sz w:val="24"/>
          <w:szCs w:val="24"/>
        </w:rPr>
        <w:t xml:space="preserve"> бюджета за 2013 год составило 31 313,5 тыс. руб. или 80,32% к годовому плану (38 986,1 тыс. руб.)</w:t>
      </w:r>
    </w:p>
    <w:p w:rsidR="0099694C" w:rsidRDefault="0099694C" w:rsidP="0099694C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Внешняя проверка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ведомственной структурой расходов бюджета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в 2013 году Главными распорядителями бюджетных средств были исполнены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жетные назначения по расходам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14"/>
        <w:gridCol w:w="1915"/>
        <w:gridCol w:w="1893"/>
        <w:gridCol w:w="1909"/>
      </w:tblGrid>
      <w:tr w:rsidR="0099694C" w:rsidRPr="007E4B24" w:rsidTr="006E066C">
        <w:tc>
          <w:tcPr>
            <w:tcW w:w="39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№ </w:t>
            </w:r>
            <w:proofErr w:type="gramStart"/>
            <w:r w:rsidRPr="007E4B24">
              <w:rPr>
                <w:sz w:val="24"/>
                <w:szCs w:val="24"/>
              </w:rPr>
              <w:t>п</w:t>
            </w:r>
            <w:proofErr w:type="gramEnd"/>
            <w:r w:rsidRPr="007E4B24">
              <w:rPr>
                <w:sz w:val="24"/>
                <w:szCs w:val="24"/>
              </w:rPr>
              <w:t>/п</w:t>
            </w:r>
          </w:p>
        </w:tc>
        <w:tc>
          <w:tcPr>
            <w:tcW w:w="368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Наименование Главного расп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рядителя</w:t>
            </w:r>
          </w:p>
        </w:tc>
        <w:tc>
          <w:tcPr>
            <w:tcW w:w="2037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Сумма бюдже</w:t>
            </w:r>
            <w:r w:rsidRPr="007E4B24">
              <w:rPr>
                <w:sz w:val="24"/>
                <w:szCs w:val="24"/>
              </w:rPr>
              <w:t>т</w:t>
            </w:r>
            <w:r w:rsidRPr="007E4B24">
              <w:rPr>
                <w:sz w:val="24"/>
                <w:szCs w:val="24"/>
              </w:rPr>
              <w:t>ных назначений, тыс. руб.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Исполнено в 2013 году, тыс. руб.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 % исполнения</w:t>
            </w:r>
          </w:p>
        </w:tc>
      </w:tr>
      <w:tr w:rsidR="0099694C" w:rsidRPr="007E4B24" w:rsidTr="006E066C">
        <w:tc>
          <w:tcPr>
            <w:tcW w:w="39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2037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121 330,5 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113 298,0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center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93,38</w:t>
            </w:r>
          </w:p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</w:p>
        </w:tc>
      </w:tr>
      <w:tr w:rsidR="0099694C" w:rsidRPr="007E4B24" w:rsidTr="006E066C">
        <w:tc>
          <w:tcPr>
            <w:tcW w:w="39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Финансовое управление </w:t>
            </w:r>
            <w:r w:rsidRPr="007E4B24">
              <w:rPr>
                <w:sz w:val="24"/>
                <w:szCs w:val="24"/>
              </w:rPr>
              <w:lastRenderedPageBreak/>
              <w:t>Сорт</w:t>
            </w:r>
            <w:r w:rsidRPr="007E4B24">
              <w:rPr>
                <w:sz w:val="24"/>
                <w:szCs w:val="24"/>
              </w:rPr>
              <w:t>а</w:t>
            </w:r>
            <w:r w:rsidRPr="007E4B24">
              <w:rPr>
                <w:sz w:val="24"/>
                <w:szCs w:val="24"/>
              </w:rPr>
              <w:t>вальского муниципального ра</w:t>
            </w:r>
            <w:r w:rsidRPr="007E4B24">
              <w:rPr>
                <w:sz w:val="24"/>
                <w:szCs w:val="24"/>
              </w:rPr>
              <w:t>й</w:t>
            </w:r>
            <w:r w:rsidRPr="007E4B24">
              <w:rPr>
                <w:sz w:val="24"/>
                <w:szCs w:val="24"/>
              </w:rPr>
              <w:t>она</w:t>
            </w:r>
          </w:p>
        </w:tc>
        <w:tc>
          <w:tcPr>
            <w:tcW w:w="2037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lastRenderedPageBreak/>
              <w:t>54 247,6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50 505,2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center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93,1</w:t>
            </w:r>
          </w:p>
        </w:tc>
      </w:tr>
      <w:tr w:rsidR="0099694C" w:rsidRPr="007E4B24" w:rsidTr="006E066C">
        <w:tc>
          <w:tcPr>
            <w:tcW w:w="39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Районный комитет образования Сортавальского муниципальн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го района</w:t>
            </w:r>
          </w:p>
        </w:tc>
        <w:tc>
          <w:tcPr>
            <w:tcW w:w="2037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469 465,6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448 696,0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center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95,58</w:t>
            </w:r>
          </w:p>
        </w:tc>
      </w:tr>
      <w:tr w:rsidR="0099694C" w:rsidRPr="007E4B24" w:rsidTr="006E066C">
        <w:tc>
          <w:tcPr>
            <w:tcW w:w="39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Отдел культуры и спорта Адм</w:t>
            </w:r>
            <w:r w:rsidRPr="007E4B24">
              <w:rPr>
                <w:sz w:val="24"/>
                <w:szCs w:val="24"/>
              </w:rPr>
              <w:t>и</w:t>
            </w:r>
            <w:r w:rsidRPr="007E4B24">
              <w:rPr>
                <w:sz w:val="24"/>
                <w:szCs w:val="24"/>
              </w:rPr>
              <w:t>нистрации Сортавальского м</w:t>
            </w:r>
            <w:r w:rsidRPr="007E4B24">
              <w:rPr>
                <w:sz w:val="24"/>
                <w:szCs w:val="24"/>
              </w:rPr>
              <w:t>у</w:t>
            </w:r>
            <w:r w:rsidRPr="007E4B24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037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72 740,6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68 781,7</w:t>
            </w:r>
          </w:p>
        </w:tc>
        <w:tc>
          <w:tcPr>
            <w:tcW w:w="2038" w:type="dxa"/>
            <w:shd w:val="clear" w:color="auto" w:fill="auto"/>
          </w:tcPr>
          <w:p w:rsidR="0099694C" w:rsidRPr="007E4B24" w:rsidRDefault="0099694C" w:rsidP="006E066C">
            <w:pPr>
              <w:jc w:val="center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94,56</w:t>
            </w:r>
          </w:p>
        </w:tc>
      </w:tr>
    </w:tbl>
    <w:p w:rsidR="0099694C" w:rsidRPr="00EB7CF9" w:rsidRDefault="0099694C" w:rsidP="0099694C">
      <w:pPr>
        <w:jc w:val="both"/>
        <w:rPr>
          <w:sz w:val="24"/>
          <w:szCs w:val="24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годового отчета об исполнении бюджета в Контрольно-счетный комитет представлена годовая бюджетная отчетность главных администраторов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проверки</w:t>
      </w:r>
      <w:proofErr w:type="gramEnd"/>
      <w:r>
        <w:rPr>
          <w:i/>
          <w:sz w:val="24"/>
          <w:szCs w:val="24"/>
        </w:rPr>
        <w:t xml:space="preserve"> годовой бюджетной отчетности установлено:</w:t>
      </w:r>
    </w:p>
    <w:p w:rsidR="0099694C" w:rsidRPr="00EB7CF9" w:rsidRDefault="0099694C" w:rsidP="0099694C">
      <w:pPr>
        <w:jc w:val="center"/>
        <w:rPr>
          <w:b/>
          <w:sz w:val="24"/>
          <w:szCs w:val="24"/>
        </w:rPr>
      </w:pPr>
      <w:r w:rsidRPr="00EB7CF9">
        <w:rPr>
          <w:b/>
          <w:sz w:val="24"/>
          <w:szCs w:val="24"/>
        </w:rPr>
        <w:t>Администрация Сортавальского муниципального района.</w:t>
      </w:r>
    </w:p>
    <w:p w:rsidR="0099694C" w:rsidRDefault="0099694C" w:rsidP="0099694C">
      <w:pPr>
        <w:jc w:val="both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Администрации Сортавальского муниципального района за 2013 год представлена в Контрольно-счетный комитет в установленный срок, подписанная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 и главным бухгалтером.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мерах по повышению эффективности расходования бюджетных средств (табл.2);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мероприятий внутреннего контроля (табл.5);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внешних контрольных мероприятий (табл.7);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(ф.0503164);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мероприятий в рамках целевых программ (ф.0503166);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финансовых вложениях получателя бюджетных средств, администратора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точников финансирования дефицита бюджета (ф.0503171);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 0503173);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использовании информационно-коммуникационных технологий (ф.0503177).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– Администрации Сортавальского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по состоянию на 1 января 2014г: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121 330,5 тыс. руб.;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121 330,5 тыс. руб., т.е. 100% от утвержденных бюджетных назначений по расходам;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113 298,0 тыс. руб., что составляет 93,38 % утвержденных бюджетных назначений;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ассигнованиям- 8 032,5 тыс. руб.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– 8 032,5 тыс. руб.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Сортавальского муниципального района на 2013 год, а также соответствуют 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зателям Отчета об исполнении бюджета Сортавальского муниципального района.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40 065,0 тыс. руб. с начала года увеличилась на 4 676,1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35 388,9 тыс. руб.). Просроченная дебиторская задолже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ность по состоянию на 01.01.2014 года сократилась на 215,9 тыс. руб. и составила -33,4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 1 января 2013года – 182,5 тыс. руб.)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1 799,2 тыс. руб. с начала года увеличилась на 200,5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1 598, 7 тыс. руб.), в том числе просроченная задолженность отражена в размере 1 110,5 тыс. руб., что на 74,3 тыс. руб. меньше, чем по состоянию на 01.01.2013г. (1 184,8 тыс. руб.).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Исходя из Отчета о принятых бюджетных обязательствах (ф.0503128) обязательства принятые главным распорядителем (114 696,6 тыс. руб.) не превышают объем доведе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ему лимитов бюджетных обязательств (121 330,5 тыс. руб.)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Таблицы и приложения Пояснительной записки оформлены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установленными пунктами 153-174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99694C" w:rsidRPr="003611D1" w:rsidRDefault="0099694C" w:rsidP="0099694C">
      <w:pPr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99694C" w:rsidRPr="00AA0DE5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В результате проверки годовой бюджетной отчетности главного распорядителя – Администрации Сортавальского муниципального района  нарушений норм де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ствующего законодательства РФ, в части подготовки </w:t>
      </w:r>
      <w:r>
        <w:rPr>
          <w:b/>
          <w:sz w:val="24"/>
          <w:szCs w:val="24"/>
        </w:rPr>
        <w:lastRenderedPageBreak/>
        <w:t>годового бухгалтерского о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чета, не выявлено. Показатели годовой отчетности главного распорядителя дост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верны. Бюджетная отчетность за 2013 год представлена в полном объеме, в уст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новленный срок.  </w:t>
      </w:r>
      <w:r>
        <w:rPr>
          <w:sz w:val="24"/>
          <w:szCs w:val="24"/>
        </w:rPr>
        <w:t xml:space="preserve">   </w:t>
      </w:r>
    </w:p>
    <w:p w:rsidR="0099694C" w:rsidRPr="003B6285" w:rsidRDefault="0099694C" w:rsidP="0099694C">
      <w:pPr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94C" w:rsidRPr="00EB7CF9" w:rsidRDefault="0099694C" w:rsidP="0099694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Финансовое управление Сортавальского муниципального района</w:t>
      </w:r>
      <w:r w:rsidRPr="00EB7CF9">
        <w:rPr>
          <w:b/>
          <w:sz w:val="24"/>
          <w:szCs w:val="24"/>
        </w:rPr>
        <w:t>.</w:t>
      </w:r>
    </w:p>
    <w:p w:rsidR="0099694C" w:rsidRDefault="0099694C" w:rsidP="0099694C">
      <w:pPr>
        <w:jc w:val="both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Финансового управления Сортавальского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за 2013 год представлена в Контрольно-счетный комитет в установленный срок, подписанная руководителем и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бухгалтером.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табл.3);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особенностях ведения бюджетного учета (табл.4);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мероприятий внутреннего контроля (табл.5);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(ф.0503164);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государственных (муниципальных) заимствованиях (ф.0503172);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 0503173);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использовании информационно-коммуникационных технологий (ф.0503177).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– Финансовое управление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по состоянию на 1 января 2014г: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54 247,6 тыс. руб.;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54 247,6 тыс. руб., т.е. 100% от утвержденных бюджетных назначений по расходам;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50 505,2 тыс. руб., что составляет 93,1 % утвержденных бюджетных назначений;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исполнения через банковские счета и некассовые операции не было;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ассигнованиям- 3 742,4 тыс. руб.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– 3 742,4 тыс. руб.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Сортавальского муниципального района на 2013 год, а также соответствуют 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зателям Отчета об исполнении бюджета Сортавальского муниципального района.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-8,7 тыс. руб. с начала года уменьшилась на 9 306,0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0,6 тыс. руб.). Задолженность является текущей, просроченной задолженности нет.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27,7 тыс. руб. с начала года увеличилась на 17,5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10 ,2 тыс. руб.)</w:t>
      </w:r>
      <w:r w:rsidRPr="00AA0DE5">
        <w:rPr>
          <w:sz w:val="24"/>
          <w:szCs w:val="24"/>
        </w:rPr>
        <w:t xml:space="preserve"> </w:t>
      </w:r>
      <w:r>
        <w:rPr>
          <w:sz w:val="24"/>
          <w:szCs w:val="24"/>
        </w:rPr>
        <w:t>Задолженность является текущей, просроченной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долженности нет.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показателям,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Исходя из Отчета о принятых бюджетных обязательствах (ф.0503128) обязательства принятые главным распорядителем (50 504,1 тыс. руб.) не превышают объем доведе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ему лимитов бюджетных обязательств (54 247,6 тыс. руб.)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Таблицы и приложения Пояснительной записки оформлены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установленными пунктами 153-174 Инструкции №191н, за исключением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использовании информационно-коммуникационных технологий (ф. 0503177). В форме 0503177 Сведения об использовании информационных технологий в графе 5 не указано обоснование целесообразности произведенных расходов в нарушение п.172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струкции №191н.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99694C" w:rsidRPr="003611D1" w:rsidRDefault="0099694C" w:rsidP="0099694C">
      <w:pPr>
        <w:ind w:left="780"/>
        <w:jc w:val="center"/>
        <w:rPr>
          <w:b/>
          <w:sz w:val="24"/>
          <w:szCs w:val="24"/>
        </w:rPr>
      </w:pPr>
    </w:p>
    <w:p w:rsidR="0099694C" w:rsidRPr="003611D1" w:rsidRDefault="0099694C" w:rsidP="0099694C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Pr="003611D1">
        <w:rPr>
          <w:b/>
          <w:sz w:val="24"/>
          <w:szCs w:val="24"/>
        </w:rPr>
        <w:t>.</w:t>
      </w:r>
    </w:p>
    <w:p w:rsidR="0099694C" w:rsidRPr="00372C9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результате проверки годовой бюджетной отчетности главного распорядителя – Ф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нансовое управление Сортавальского муниципального  района  нарушений норм де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ствующего законодательства РФ, в части подготовки годового бухгалтерского отчета, не выявлено. Показатели годовой отчетности главного распорядителя достоверны.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ная отчетность за 2013 год представлена в полном объеме, в устано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ленный срок.  </w:t>
      </w:r>
      <w:r>
        <w:rPr>
          <w:sz w:val="24"/>
          <w:szCs w:val="24"/>
        </w:rPr>
        <w:t xml:space="preserve">   </w:t>
      </w:r>
    </w:p>
    <w:p w:rsidR="0099694C" w:rsidRDefault="0099694C" w:rsidP="0099694C">
      <w:pPr>
        <w:jc w:val="center"/>
        <w:rPr>
          <w:b/>
          <w:sz w:val="24"/>
          <w:szCs w:val="24"/>
        </w:rPr>
      </w:pPr>
    </w:p>
    <w:p w:rsidR="0099694C" w:rsidRPr="00EB7CF9" w:rsidRDefault="0099694C" w:rsidP="0099694C">
      <w:pPr>
        <w:jc w:val="center"/>
        <w:rPr>
          <w:b/>
          <w:sz w:val="24"/>
          <w:szCs w:val="24"/>
        </w:rPr>
      </w:pPr>
      <w:r w:rsidRPr="00AA0DE5">
        <w:rPr>
          <w:b/>
          <w:sz w:val="28"/>
          <w:szCs w:val="28"/>
        </w:rPr>
        <w:t>Районный комитет образования Сортавальского муниципального района</w:t>
      </w:r>
      <w:r w:rsidRPr="00EB7CF9">
        <w:rPr>
          <w:b/>
          <w:sz w:val="24"/>
          <w:szCs w:val="24"/>
        </w:rPr>
        <w:t>.</w:t>
      </w:r>
    </w:p>
    <w:p w:rsidR="0099694C" w:rsidRDefault="0099694C" w:rsidP="0099694C">
      <w:pPr>
        <w:jc w:val="both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Районного комитета образования Сортавальского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за 2013 год представлена в Контрольно-счетный комитет в установленный срок, подписанная руководителем и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бухгалтером.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мерах по повышению эффективности расходования бюджетных средств (табл.2);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бюджете (табл.3);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особенностях ведения бюджетного учета (табл.4);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мероприятий внутреннего контроля (табл.5);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внешних контрольных мероприятий (табл.7);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(ф.0503164);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мероприятий в рамках целевых программ (ф.0503166);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финансовых вложениях получателя бюджетных средств, администратора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точников финансирования дефицита бюджета (ф.0503171);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 0503173);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недостачах и хищениях денежных средств и материальных ценностей (ф.0503176);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использовании информационно-коммуникационных технологий (ф.0503177).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– Районный комитет образования Сортавальского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по состоянию на 1 января 2014г: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469 465,6 тыс. руб.;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469 465,6 тыс. руб., т.е. 100% от утвержденных бюджетных назначений по расходам;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448 696,0 тыс. руб., что составляет 95,58 % утвержденных бюджетных назначений;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ассигнованиям- 20 769,6 тыс. руб.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неисполненные назначения по лимитам бюджетных обязательств – 20 769,6 тыс. руб.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Сортавальского муниципального района на 2013 год, а также соответствуют 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зателям Отчета об исполнении бюджета Сортавальского муниципального района.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-424,9 тыс. руб. с начала года уменьшилась на 103,5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-321,4 тыс. руб.). Задолженность является текущей, просроченной задолженности нет.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14 712,1 тыс. руб. с начала года увеличилась на 5 957,9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8 754,2 тыс. руб.), в том числе просроченная задолженность отражена в размере 11 842,7 тыс. руб., что на 6 552,2 тыс. руб. больше, чем по состоянию на 01.01.2013г. (5 290,5 тыс. руб.). Наибольший удельный вес в объеме просроченной кредиторской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долженности составляет задолженность за предоставленные в 2013 году коммунальные услуги – 5 849,3 тыс. руб., и за предоставленные с 2010 по 2013 годы услуги по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жанию имущества -4 289,1 тыс. руб.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показателям,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Исходя из Отчета о принятых бюджетных обязательствах (ф.0503128) обязательства принятые главным распорядителем (448 696,0 тыс. руб.) не превышают объем доведе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ему лимитов бюджетных обязательств (469 465,6 тыс. руб.). </w:t>
      </w:r>
      <w:proofErr w:type="gramStart"/>
      <w:r>
        <w:rPr>
          <w:sz w:val="24"/>
          <w:szCs w:val="24"/>
        </w:rPr>
        <w:t>Однако,  в нарушение п. 71 Инструкции №191н в графе 6 не по всем кодам по бюджетной классификации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ражены принятые бюджетные обязательства на текущий финансовый год в сумме кред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товых оборотов по счету 502 «Принятые обязательства» и принятых и не использова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обязательств на начало отчетного года, поэтому в Отчете о принятых бюджетных обязательствах  главным распорядителем отражено, что исполнено обязательств больше, чем принято.</w:t>
      </w:r>
      <w:proofErr w:type="gramEnd"/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Таблицы и приложения Пояснительной записки оформлены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установленными пунктами 153-174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99694C" w:rsidRDefault="0099694C" w:rsidP="0099694C">
      <w:pPr>
        <w:ind w:left="7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>.</w:t>
      </w:r>
    </w:p>
    <w:p w:rsidR="0099694C" w:rsidRPr="00AA0DE5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Районного комитета </w:t>
      </w:r>
      <w:proofErr w:type="gramStart"/>
      <w:r>
        <w:rPr>
          <w:b/>
          <w:sz w:val="24"/>
          <w:szCs w:val="24"/>
        </w:rPr>
        <w:t>образования Сортавальского муниципального района  нар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шений норм действующего законодательства</w:t>
      </w:r>
      <w:proofErr w:type="gramEnd"/>
      <w:r>
        <w:rPr>
          <w:b/>
          <w:sz w:val="24"/>
          <w:szCs w:val="24"/>
        </w:rPr>
        <w:t xml:space="preserve"> РФ, в части подготовки годового бу</w:t>
      </w:r>
      <w:r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галтерского отчета, не выявлено. Выявлены незначительные нарушения по запо</w:t>
      </w:r>
      <w:r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нению Отчета о принятых бюджетных обязательствах (ф.0503128 </w:t>
      </w:r>
      <w:proofErr w:type="gramStart"/>
      <w:r>
        <w:rPr>
          <w:b/>
          <w:sz w:val="24"/>
          <w:szCs w:val="24"/>
        </w:rPr>
        <w:t>заполнена</w:t>
      </w:r>
      <w:proofErr w:type="gramEnd"/>
      <w:r>
        <w:rPr>
          <w:b/>
          <w:sz w:val="24"/>
          <w:szCs w:val="24"/>
        </w:rPr>
        <w:t xml:space="preserve"> с нарушением п.71 Инструкции №191н). Показатели годовой отчетности главного распорядителя достоверны. Бюджетная отчетность за 2013 год представлена в по</w:t>
      </w:r>
      <w:r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ном объеме, в установленный срок.  </w:t>
      </w:r>
      <w:r>
        <w:rPr>
          <w:sz w:val="24"/>
          <w:szCs w:val="24"/>
        </w:rPr>
        <w:t xml:space="preserve">   </w:t>
      </w:r>
    </w:p>
    <w:p w:rsidR="0099694C" w:rsidRDefault="0099694C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94C" w:rsidRPr="00EB7CF9" w:rsidRDefault="0099694C" w:rsidP="0099694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Отдел культуры и спорта администрации Сортавальского муниципального района</w:t>
      </w:r>
      <w:r w:rsidRPr="00EB7CF9">
        <w:rPr>
          <w:b/>
          <w:sz w:val="24"/>
          <w:szCs w:val="24"/>
        </w:rPr>
        <w:t>.</w:t>
      </w:r>
    </w:p>
    <w:p w:rsidR="0099694C" w:rsidRDefault="0099694C" w:rsidP="0099694C">
      <w:pPr>
        <w:jc w:val="both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Отдела культуры и спорта администрации Сортавальского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за 2013 год представлена в Контрольно-счетный комитет в установленный срок, подписанная руководителем и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бухгалтером.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деятельности (ф.0503162);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(ф.0503164);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мероприятий в рамках целевых программ (ф.0503166);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финансовых вложениях получателя бюджетных средств, администратора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точников финансирования дефицита бюджет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ф.0503171);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 0503173);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использовании информационно-коммуникационных технологий (ф.0503177).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– Отдела культуры и спорта администрации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по состоянию на 1 января 2014г: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72 740,6 тыс. руб.;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72 740,6 тыс. руб., т.е. 100% от утвержденных бюджетных назначений по расходам;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68 781,7 тыс. руб., что составляет 94,56 % утвержденных бюджетных назначений;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неисполненные назначения по ассигнованиям - данные отсутствуют (нарушение п.57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№191н);</w:t>
      </w:r>
    </w:p>
    <w:p w:rsidR="0099694C" w:rsidRDefault="0099694C" w:rsidP="0099694C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– 5 348,9 тыс. руб.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Сортавальского муниципального района на 2013 год, а также соответствуют 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зателям Отчета об исполнении бюджета Сортавальского муниципального района.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663,6 тыс. руб. с начала года увеличилась на 499,5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164,1 тыс. руб.). Задолженность является текущей, просроченной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долженности нет.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1 297,7 тыс. руб. с начала года увеличилась на 672,5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на 01.01.2013года –   625,2  тыс. руб.),в  том числе просроченная кредиторская задолженность на 01.01.2014г. составила 773,4 тыс. руб., по сравнению с началом года (614,6 тыс. руб.) увеличилась на 158,8 тыс. руб. 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показателям,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Исходя из Отчета о принятых бюджетных обязательствах (ф.0503128) обязательства принятые главным распорядителем (69 926,9 тыс. руб.) не превышают объем доведе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ему лимитов бюджетных обязательств (72 740,6 тыс. руб.)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Таблицы и приложения Пояснительной записки оформлены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установленными пунктами 153-174 Инструкции №191н, за исключением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об использовании информационно-коммуникационных технологий (ф. 0503177). В  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форме 0503177 Сведения об использовании информационных технологий в графе 5 не указано обоснование целесообразности произведенных расходов в нарушение п.172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струкции №191н. </w:t>
      </w:r>
    </w:p>
    <w:p w:rsidR="0099694C" w:rsidRDefault="0099694C" w:rsidP="0099694C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99694C" w:rsidRPr="003611D1" w:rsidRDefault="0099694C" w:rsidP="0099694C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99694C" w:rsidRPr="00372C9C" w:rsidRDefault="0099694C" w:rsidP="0099694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Отдела культуры и спорта </w:t>
      </w:r>
      <w:proofErr w:type="gramStart"/>
      <w:r>
        <w:rPr>
          <w:b/>
          <w:sz w:val="24"/>
          <w:szCs w:val="24"/>
        </w:rPr>
        <w:t>администрации Сортавальского муниципального  района  нарушений норм действующего законодательства</w:t>
      </w:r>
      <w:proofErr w:type="gramEnd"/>
      <w:r>
        <w:rPr>
          <w:b/>
          <w:sz w:val="24"/>
          <w:szCs w:val="24"/>
        </w:rPr>
        <w:t xml:space="preserve"> РФ, в части подготовки годового бухгалтерского отчета, не выявлено. Допущены недостатки по составлению формы к пояснительной та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лице (форма 0503177 заполнена с нарушением п. 172 Инструкции №191н) и Отчета об и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полнении бюджета главного распорядителя (форма 0503127 заполнена с нарушением п.57 Инструкции №191н)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 Показатели годовой отчетности главного распорядителя достове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ны. Бюджетная отчетность за 2013 год представлена в полном объеме, в установле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ный срок.  </w:t>
      </w:r>
      <w:r>
        <w:rPr>
          <w:sz w:val="24"/>
          <w:szCs w:val="24"/>
        </w:rPr>
        <w:t xml:space="preserve">   </w:t>
      </w:r>
    </w:p>
    <w:p w:rsidR="0099694C" w:rsidRDefault="0099694C" w:rsidP="0099694C">
      <w:pPr>
        <w:jc w:val="center"/>
        <w:rPr>
          <w:b/>
          <w:sz w:val="24"/>
          <w:szCs w:val="24"/>
        </w:rPr>
      </w:pPr>
    </w:p>
    <w:p w:rsidR="0099694C" w:rsidRPr="003B6285" w:rsidRDefault="0099694C" w:rsidP="0099694C">
      <w:pPr>
        <w:ind w:left="1080" w:hanging="1080"/>
        <w:jc w:val="both"/>
        <w:rPr>
          <w:b/>
          <w:sz w:val="28"/>
          <w:szCs w:val="28"/>
        </w:rPr>
      </w:pPr>
    </w:p>
    <w:p w:rsidR="0099694C" w:rsidRDefault="0099694C" w:rsidP="0099694C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2013 год.</w:t>
      </w:r>
    </w:p>
    <w:p w:rsidR="0099694C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Отчет об исполнении бюджета Сортавальского муниципального района соответствует нормам бюджетного законодательства  и отражает соблюдение при исполнении бюджета требований Бюджетного кодекса основных принципов бюджетной системы РФ (сбала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сированности бюджета, отражения доходов и расходов и источников финансирования дефицита, результативности и эффективности, прозрачности (открытости), достоверн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адресности и целевого характера бюджетных средств, подведомственности расходов, единства кассы.</w:t>
      </w:r>
      <w:proofErr w:type="gramEnd"/>
    </w:p>
    <w:p w:rsidR="0099694C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исполнен по доходам в сумме 664 680,4 тыс. руб. или 97,1% к утвержденным назначениям, по расходам исполнение составило 681 280,9 тыс. руб. или 94,9% .</w:t>
      </w:r>
    </w:p>
    <w:p w:rsidR="0099694C" w:rsidRDefault="0099694C" w:rsidP="009969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доходная и расходная часть бюджета исполнена по итогам 2013 года в большем объеме, чем первоначально было запланировано Решением о бюджете. Бюджет исполнен с дефицитом 16 600,5 тыс. руб., который ниже установленного предела и соответствует статье 92.1 Бюджетного кодекса РФ.</w:t>
      </w:r>
    </w:p>
    <w:p w:rsidR="0099694C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Сумма сложившегося муниципального долга на 01.01.2014 года составил 65 143 тыс. руб. или 86,69% от утвержденного верхнего предела муниципального внутреннего долга Сортавальского муниципального района. Предельный объем муниципального долга установлен в соответствии со статьей 107 Бюджетного кодекса РФ и на протяжении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четного периода не превышался.</w:t>
      </w:r>
    </w:p>
    <w:p w:rsidR="0099694C" w:rsidRDefault="0099694C" w:rsidP="009969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обратить внимание на тенденцию роста сложившейся на 01.01.2014 г. суммы муниципального долга, увеличение по сравнению с 01.01.2013г. составило 5 259,4 тыс. руб.</w:t>
      </w:r>
    </w:p>
    <w:p w:rsidR="0099694C" w:rsidRDefault="0099694C" w:rsidP="009969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обслуживание муниципального долга составили 3520,9 тыс. руб. и не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вышают предельный размер, установленный статьей 111 Бюджетного кодекса РФ, а 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же утвержденный предельный объем расходов на обслуживание муниципального вну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реннего долга Сортавальского муниципального района на 2013 год.</w:t>
      </w:r>
    </w:p>
    <w:p w:rsidR="0099694C" w:rsidRDefault="0099694C" w:rsidP="009969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Кредиторской задолженности главных распорядителей бюджетных средств по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нию на 01.01.2014года составила 17 836,7 тыс. руб., в том числе просроченная 13 726,6 тыс. руб. и увеличилась по сравнению с началом года на 6848,4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01.01.2013г.-10988,3 тыс. руб.), в том числе просроченная кредиторская задолженность увеличилась на 6636,7 тыс. руб.(на 01.01.2013г.-7089,9 тыс. руб.).   </w:t>
      </w:r>
    </w:p>
    <w:p w:rsidR="0099694C" w:rsidRPr="003611D1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81 Бюджетного кодекса РФ и статьей 8 решения Совета Со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тавальского муниципального района от 06.12.2012г. №285 « О бюджете Сортавальского муниципального района на 2013 год и на плановый период 2014 и 2015 годов» установлен размер резервн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фонда Администрации Сортавальского муниципального района на 2013 год в размере 400,0 тыс. руб., что составляет 0,06 % от общего объема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бюджетных</w:t>
      </w:r>
      <w:proofErr w:type="gramEnd"/>
      <w:r>
        <w:rPr>
          <w:sz w:val="24"/>
          <w:szCs w:val="24"/>
        </w:rPr>
        <w:t xml:space="preserve"> назначений.</w:t>
      </w:r>
    </w:p>
    <w:p w:rsidR="0099694C" w:rsidRDefault="0099694C" w:rsidP="0099694C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Отчета об использовании средств Резервного фонда администрации Сорт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вальского муниципального района за 2013 год по состоянию на 01.01.2014г. из Резервн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фонда на непредвиденные расходы выделено 184,2 тыс. 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исполнено 184,2 тыс. руб.</w:t>
      </w:r>
    </w:p>
    <w:p w:rsidR="0099694C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r w:rsidRPr="003611D1">
        <w:rPr>
          <w:sz w:val="24"/>
          <w:szCs w:val="24"/>
        </w:rPr>
        <w:t>При</w:t>
      </w:r>
      <w:r>
        <w:rPr>
          <w:sz w:val="24"/>
          <w:szCs w:val="24"/>
        </w:rPr>
        <w:t xml:space="preserve"> анализе исполнения ведомственных целевых и инвестиционных программ несоо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ветствий не выявлено. </w:t>
      </w:r>
    </w:p>
    <w:p w:rsidR="0099694C" w:rsidRPr="003611D1" w:rsidRDefault="0099694C" w:rsidP="0099694C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Недостатки, выявленные в процессе внешней проверки бюджетной отчетности главных распорядителей бюджетных средств отражены</w:t>
      </w:r>
      <w:proofErr w:type="gramEnd"/>
      <w:r>
        <w:rPr>
          <w:sz w:val="24"/>
          <w:szCs w:val="24"/>
        </w:rPr>
        <w:t xml:space="preserve"> в заключениях по каждому главному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порядителю и на полноту, достоверность Годовой бюджетной отчетности Сортавальск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не повлияли.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       Астафьева Н.А.</w:t>
      </w:r>
    </w:p>
    <w:p w:rsidR="0099694C" w:rsidRDefault="0099694C"/>
    <w:sectPr w:rsidR="0099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01"/>
    <w:multiLevelType w:val="hybridMultilevel"/>
    <w:tmpl w:val="A764538E"/>
    <w:lvl w:ilvl="0" w:tplc="80329B42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356C5"/>
    <w:multiLevelType w:val="singleLevel"/>
    <w:tmpl w:val="20C4707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433AF"/>
    <w:multiLevelType w:val="hybridMultilevel"/>
    <w:tmpl w:val="06820A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FAA"/>
    <w:multiLevelType w:val="hybridMultilevel"/>
    <w:tmpl w:val="BD4C923C"/>
    <w:lvl w:ilvl="0" w:tplc="32F651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C74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70113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710670"/>
    <w:multiLevelType w:val="hybridMultilevel"/>
    <w:tmpl w:val="5FB2B4D0"/>
    <w:lvl w:ilvl="0" w:tplc="B12C63D6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8DD7145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A50204"/>
    <w:multiLevelType w:val="singleLevel"/>
    <w:tmpl w:val="1F9E3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086EDC"/>
    <w:multiLevelType w:val="hybridMultilevel"/>
    <w:tmpl w:val="838AB54E"/>
    <w:lvl w:ilvl="0" w:tplc="9CF626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1B1149D"/>
    <w:multiLevelType w:val="hybridMultilevel"/>
    <w:tmpl w:val="B9046A52"/>
    <w:lvl w:ilvl="0" w:tplc="9A66B1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5BF1053"/>
    <w:multiLevelType w:val="hybridMultilevel"/>
    <w:tmpl w:val="85E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4DB2"/>
    <w:multiLevelType w:val="hybridMultilevel"/>
    <w:tmpl w:val="4BA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4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E5BEF"/>
    <w:multiLevelType w:val="hybridMultilevel"/>
    <w:tmpl w:val="37F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6B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83E73"/>
    <w:multiLevelType w:val="singleLevel"/>
    <w:tmpl w:val="EE9EC0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AE07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317DE5"/>
    <w:multiLevelType w:val="hybridMultilevel"/>
    <w:tmpl w:val="F3A4775C"/>
    <w:lvl w:ilvl="0" w:tplc="F70AFCE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3C5969FA"/>
    <w:multiLevelType w:val="hybridMultilevel"/>
    <w:tmpl w:val="EF1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6686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B1A618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F5407E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4206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35A7AA0"/>
    <w:multiLevelType w:val="hybridMultilevel"/>
    <w:tmpl w:val="8E0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B6699"/>
    <w:multiLevelType w:val="hybridMultilevel"/>
    <w:tmpl w:val="26C224D2"/>
    <w:lvl w:ilvl="0" w:tplc="D8E8F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920152">
      <w:numFmt w:val="none"/>
      <w:lvlText w:val=""/>
      <w:lvlJc w:val="left"/>
      <w:pPr>
        <w:tabs>
          <w:tab w:val="num" w:pos="284"/>
        </w:tabs>
      </w:pPr>
    </w:lvl>
    <w:lvl w:ilvl="2" w:tplc="08B08AA8">
      <w:numFmt w:val="none"/>
      <w:lvlText w:val=""/>
      <w:lvlJc w:val="left"/>
      <w:pPr>
        <w:tabs>
          <w:tab w:val="num" w:pos="284"/>
        </w:tabs>
      </w:pPr>
    </w:lvl>
    <w:lvl w:ilvl="3" w:tplc="C3F8A5A0">
      <w:numFmt w:val="none"/>
      <w:lvlText w:val=""/>
      <w:lvlJc w:val="left"/>
      <w:pPr>
        <w:tabs>
          <w:tab w:val="num" w:pos="284"/>
        </w:tabs>
      </w:pPr>
    </w:lvl>
    <w:lvl w:ilvl="4" w:tplc="63FAFD7A">
      <w:numFmt w:val="none"/>
      <w:lvlText w:val=""/>
      <w:lvlJc w:val="left"/>
      <w:pPr>
        <w:tabs>
          <w:tab w:val="num" w:pos="284"/>
        </w:tabs>
      </w:pPr>
    </w:lvl>
    <w:lvl w:ilvl="5" w:tplc="CCA09916">
      <w:numFmt w:val="none"/>
      <w:lvlText w:val=""/>
      <w:lvlJc w:val="left"/>
      <w:pPr>
        <w:tabs>
          <w:tab w:val="num" w:pos="284"/>
        </w:tabs>
      </w:pPr>
    </w:lvl>
    <w:lvl w:ilvl="6" w:tplc="4DFC1BC6">
      <w:numFmt w:val="none"/>
      <w:lvlText w:val=""/>
      <w:lvlJc w:val="left"/>
      <w:pPr>
        <w:tabs>
          <w:tab w:val="num" w:pos="284"/>
        </w:tabs>
      </w:pPr>
    </w:lvl>
    <w:lvl w:ilvl="7" w:tplc="FB6871D0">
      <w:numFmt w:val="none"/>
      <w:lvlText w:val=""/>
      <w:lvlJc w:val="left"/>
      <w:pPr>
        <w:tabs>
          <w:tab w:val="num" w:pos="284"/>
        </w:tabs>
      </w:pPr>
    </w:lvl>
    <w:lvl w:ilvl="8" w:tplc="D53AB9A4">
      <w:numFmt w:val="none"/>
      <w:lvlText w:val=""/>
      <w:lvlJc w:val="left"/>
      <w:pPr>
        <w:tabs>
          <w:tab w:val="num" w:pos="284"/>
        </w:tabs>
      </w:pPr>
    </w:lvl>
  </w:abstractNum>
  <w:abstractNum w:abstractNumId="25">
    <w:nsid w:val="55B00129"/>
    <w:multiLevelType w:val="singleLevel"/>
    <w:tmpl w:val="687A89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EE4136A"/>
    <w:multiLevelType w:val="multilevel"/>
    <w:tmpl w:val="A8B81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437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8A5E55"/>
    <w:multiLevelType w:val="hybridMultilevel"/>
    <w:tmpl w:val="4C501CDC"/>
    <w:lvl w:ilvl="0" w:tplc="44829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8828A5"/>
    <w:multiLevelType w:val="hybridMultilevel"/>
    <w:tmpl w:val="CB94A9D4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3C5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7B30E0"/>
    <w:multiLevelType w:val="singleLevel"/>
    <w:tmpl w:val="1B3650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8F60E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A531E8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CD709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C075D1D"/>
    <w:multiLevelType w:val="hybridMultilevel"/>
    <w:tmpl w:val="21FE6E96"/>
    <w:lvl w:ilvl="0" w:tplc="5FAE1DD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52AE1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D962FB3"/>
    <w:multiLevelType w:val="hybridMultilevel"/>
    <w:tmpl w:val="A8E00EE6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512E0D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FA419F1"/>
    <w:multiLevelType w:val="hybridMultilevel"/>
    <w:tmpl w:val="31501698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5"/>
  </w:num>
  <w:num w:numId="5">
    <w:abstractNumId w:val="22"/>
  </w:num>
  <w:num w:numId="6">
    <w:abstractNumId w:val="25"/>
  </w:num>
  <w:num w:numId="7">
    <w:abstractNumId w:val="35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8"/>
  </w:num>
  <w:num w:numId="13">
    <w:abstractNumId w:val="33"/>
  </w:num>
  <w:num w:numId="14">
    <w:abstractNumId w:val="36"/>
  </w:num>
  <w:num w:numId="15">
    <w:abstractNumId w:val="1"/>
  </w:num>
  <w:num w:numId="16">
    <w:abstractNumId w:val="27"/>
  </w:num>
  <w:num w:numId="17">
    <w:abstractNumId w:val="4"/>
  </w:num>
  <w:num w:numId="18">
    <w:abstractNumId w:val="15"/>
  </w:num>
  <w:num w:numId="19">
    <w:abstractNumId w:val="39"/>
  </w:num>
  <w:num w:numId="20">
    <w:abstractNumId w:val="37"/>
  </w:num>
  <w:num w:numId="21">
    <w:abstractNumId w:val="13"/>
  </w:num>
  <w:num w:numId="22">
    <w:abstractNumId w:val="12"/>
  </w:num>
  <w:num w:numId="23">
    <w:abstractNumId w:val="38"/>
  </w:num>
  <w:num w:numId="24">
    <w:abstractNumId w:val="30"/>
  </w:num>
  <w:num w:numId="25">
    <w:abstractNumId w:val="2"/>
  </w:num>
  <w:num w:numId="26">
    <w:abstractNumId w:val="23"/>
  </w:num>
  <w:num w:numId="27">
    <w:abstractNumId w:val="6"/>
  </w:num>
  <w:num w:numId="28">
    <w:abstractNumId w:val="0"/>
  </w:num>
  <w:num w:numId="29">
    <w:abstractNumId w:val="10"/>
  </w:num>
  <w:num w:numId="30">
    <w:abstractNumId w:val="3"/>
  </w:num>
  <w:num w:numId="31">
    <w:abstractNumId w:val="24"/>
  </w:num>
  <w:num w:numId="32">
    <w:abstractNumId w:val="28"/>
  </w:num>
  <w:num w:numId="33">
    <w:abstractNumId w:val="11"/>
  </w:num>
  <w:num w:numId="34">
    <w:abstractNumId w:val="26"/>
  </w:num>
  <w:num w:numId="35">
    <w:abstractNumId w:val="29"/>
  </w:num>
  <w:num w:numId="36">
    <w:abstractNumId w:val="21"/>
  </w:num>
  <w:num w:numId="37">
    <w:abstractNumId w:val="31"/>
  </w:num>
  <w:num w:numId="38">
    <w:abstractNumId w:val="17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7E10BE"/>
    <w:rsid w:val="0099694C"/>
    <w:rsid w:val="00D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10616</Words>
  <Characters>60512</Characters>
  <Application>Microsoft Office Word</Application>
  <DocSecurity>0</DocSecurity>
  <Lines>504</Lines>
  <Paragraphs>141</Paragraphs>
  <ScaleCrop>false</ScaleCrop>
  <Company>Администрация Сортавальского мун.района от.бух.учета</Company>
  <LinksUpToDate>false</LinksUpToDate>
  <CharactersWithSpaces>70987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2014-07-23T06:53:00Z</dcterms:created>
  <dcterms:modified xsi:type="dcterms:W3CDTF">2014-07-23T06:57:00Z</dcterms:modified>
</cp:coreProperties>
</file>